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4"/>
          <w:szCs w:val="44"/>
          <w:lang w:val="en-US" w:eastAsia="zh-CN"/>
        </w:rPr>
      </w:pPr>
      <w:r>
        <w:rPr>
          <w:rFonts w:hint="eastAsia" w:cs="宋体"/>
          <w:b/>
          <w:bCs/>
          <w:sz w:val="44"/>
          <w:szCs w:val="44"/>
          <w:lang w:val="en-US" w:eastAsia="zh-CN"/>
        </w:rPr>
        <w:t>驻马店市中心医院飞利浦3.0T磁共振技术保项目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0"/>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w:t>
      </w:r>
      <w:r>
        <w:rPr>
          <w:rFonts w:hint="eastAsia" w:ascii="宋体" w:hAnsi="宋体" w:cs="宋体"/>
          <w:b/>
          <w:bCs/>
          <w:spacing w:val="40"/>
          <w:sz w:val="34"/>
          <w:szCs w:val="34"/>
          <w:lang w:val="en-US" w:eastAsia="zh-CN"/>
        </w:rPr>
        <w:t>4</w:t>
      </w:r>
      <w:r>
        <w:rPr>
          <w:rFonts w:hint="eastAsia" w:ascii="宋体" w:hAnsi="宋体" w:eastAsia="宋体" w:cs="宋体"/>
          <w:b/>
          <w:bCs/>
          <w:color w:val="000000" w:themeColor="text1"/>
          <w:spacing w:val="40"/>
          <w:sz w:val="34"/>
          <w:szCs w:val="34"/>
          <w14:textFill>
            <w14:solidFill>
              <w14:schemeClr w14:val="tx1"/>
            </w14:solidFill>
          </w14:textFill>
        </w:rPr>
        <w:t>年</w:t>
      </w:r>
      <w:r>
        <w:rPr>
          <w:rFonts w:hint="eastAsia" w:ascii="宋体" w:hAnsi="宋体" w:cs="宋体"/>
          <w:b/>
          <w:bCs/>
          <w:color w:val="000000" w:themeColor="text1"/>
          <w:spacing w:val="40"/>
          <w:sz w:val="34"/>
          <w:szCs w:val="34"/>
          <w:lang w:val="en-US" w:eastAsia="zh-CN"/>
          <w14:textFill>
            <w14:solidFill>
              <w14:schemeClr w14:val="tx1"/>
            </w14:solidFill>
          </w14:textFill>
        </w:rPr>
        <w:t>4</w:t>
      </w:r>
      <w:r>
        <w:rPr>
          <w:rFonts w:hint="eastAsia" w:ascii="宋体" w:hAnsi="宋体" w:eastAsia="宋体" w:cs="宋体"/>
          <w:b/>
          <w:bCs/>
          <w:color w:val="000000" w:themeColor="text1"/>
          <w:spacing w:val="40"/>
          <w:sz w:val="34"/>
          <w:szCs w:val="34"/>
          <w14:textFill>
            <w14:solidFill>
              <w14:schemeClr w14:val="tx1"/>
            </w14:solidFill>
          </w14:textFill>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_Toc22821 </w:instrText>
      </w:r>
      <w:r>
        <w:rPr>
          <w:rFonts w:hint="eastAsia" w:ascii="宋体" w:hAnsi="宋体" w:cs="宋体"/>
          <w:bCs/>
          <w:szCs w:val="32"/>
          <w:highlight w:val="none"/>
        </w:rPr>
        <w:fldChar w:fldCharType="separate"/>
      </w:r>
      <w:r>
        <w:rPr>
          <w:rFonts w:hint="eastAsia" w:ascii="宋体" w:hAnsi="宋体"/>
          <w:szCs w:val="32"/>
          <w:highlight w:val="none"/>
        </w:rPr>
        <w:t xml:space="preserve">第一章  </w:t>
      </w:r>
      <w:r>
        <w:rPr>
          <w:rFonts w:hint="eastAsia" w:ascii="宋体" w:hAnsi="宋体"/>
          <w:szCs w:val="32"/>
          <w:highlight w:val="none"/>
          <w:lang w:val="en-US" w:eastAsia="zh-CN"/>
        </w:rPr>
        <w:t>竞争性磋商采购</w:t>
      </w:r>
      <w:r>
        <w:rPr>
          <w:rFonts w:hint="eastAsia" w:ascii="宋体" w:hAnsi="宋体"/>
          <w:szCs w:val="32"/>
          <w:highlight w:val="none"/>
        </w:rPr>
        <w:t>公告</w:t>
      </w:r>
      <w:r>
        <w:tab/>
      </w:r>
      <w:r>
        <w:fldChar w:fldCharType="begin"/>
      </w:r>
      <w:r>
        <w:instrText xml:space="preserve"> PAGEREF _Toc22821 \h </w:instrText>
      </w:r>
      <w:r>
        <w:fldChar w:fldCharType="separate"/>
      </w:r>
      <w:r>
        <w:t>2</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_Toc17552 </w:instrText>
      </w:r>
      <w:r>
        <w:rPr>
          <w:rFonts w:hint="eastAsia" w:ascii="宋体" w:hAnsi="宋体" w:cs="宋体"/>
          <w:bCs/>
          <w:szCs w:val="32"/>
          <w:highlight w:val="none"/>
        </w:rPr>
        <w:fldChar w:fldCharType="separate"/>
      </w:r>
      <w:r>
        <w:rPr>
          <w:rFonts w:hint="eastAsia" w:ascii="宋体" w:hAnsi="宋体"/>
          <w:szCs w:val="32"/>
          <w:highlight w:val="none"/>
        </w:rPr>
        <w:t xml:space="preserve">第二章  </w:t>
      </w:r>
      <w:r>
        <w:rPr>
          <w:rFonts w:hint="eastAsia" w:ascii="宋体" w:hAnsi="宋体"/>
          <w:szCs w:val="32"/>
          <w:highlight w:val="none"/>
          <w:lang w:eastAsia="zh-CN"/>
        </w:rPr>
        <w:t>采购</w:t>
      </w:r>
      <w:r>
        <w:rPr>
          <w:rFonts w:hint="eastAsia" w:ascii="宋体" w:hAnsi="宋体"/>
          <w:szCs w:val="32"/>
          <w:highlight w:val="none"/>
        </w:rPr>
        <w:t>需求</w:t>
      </w:r>
      <w:r>
        <w:tab/>
      </w:r>
      <w:r>
        <w:fldChar w:fldCharType="begin"/>
      </w:r>
      <w:r>
        <w:instrText xml:space="preserve"> PAGEREF _Toc17552 \h </w:instrText>
      </w:r>
      <w:r>
        <w:fldChar w:fldCharType="separate"/>
      </w:r>
      <w:r>
        <w:t>4</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_Toc16791 </w:instrText>
      </w:r>
      <w:r>
        <w:rPr>
          <w:rFonts w:hint="eastAsia" w:ascii="宋体" w:hAnsi="宋体" w:cs="宋体"/>
          <w:bCs/>
          <w:szCs w:val="32"/>
          <w:highlight w:val="none"/>
        </w:rPr>
        <w:fldChar w:fldCharType="separate"/>
      </w:r>
      <w:r>
        <w:rPr>
          <w:rFonts w:hint="eastAsia"/>
          <w:bCs/>
          <w:szCs w:val="32"/>
          <w:highlight w:val="none"/>
        </w:rPr>
        <w:t xml:space="preserve">第三章  </w:t>
      </w:r>
      <w:r>
        <w:rPr>
          <w:rFonts w:hint="eastAsia"/>
          <w:bCs/>
          <w:szCs w:val="32"/>
          <w:highlight w:val="none"/>
          <w:lang w:eastAsia="zh-CN"/>
        </w:rPr>
        <w:t>供应商</w:t>
      </w:r>
      <w:r>
        <w:rPr>
          <w:rFonts w:hint="eastAsia"/>
          <w:bCs/>
          <w:szCs w:val="32"/>
          <w:highlight w:val="none"/>
        </w:rPr>
        <w:t>须知</w:t>
      </w:r>
      <w:r>
        <w:tab/>
      </w:r>
      <w:r>
        <w:fldChar w:fldCharType="begin"/>
      </w:r>
      <w:r>
        <w:instrText xml:space="preserve"> PAGEREF _Toc16791 \h </w:instrText>
      </w:r>
      <w:r>
        <w:fldChar w:fldCharType="separate"/>
      </w:r>
      <w:r>
        <w:t>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_Toc16473 </w:instrText>
      </w:r>
      <w:r>
        <w:rPr>
          <w:rFonts w:hint="eastAsia" w:ascii="宋体" w:hAnsi="宋体" w:cs="宋体"/>
          <w:bCs/>
          <w:szCs w:val="32"/>
          <w:highlight w:val="none"/>
        </w:rPr>
        <w:fldChar w:fldCharType="separate"/>
      </w:r>
      <w:r>
        <w:rPr>
          <w:rFonts w:hint="eastAsia" w:ascii="宋体" w:hAnsi="宋体" w:eastAsia="宋体" w:cs="宋体"/>
          <w:bCs/>
          <w:kern w:val="0"/>
          <w:szCs w:val="32"/>
          <w:highlight w:val="none"/>
        </w:rPr>
        <w:t>第四章  评标办法及评分标准</w:t>
      </w:r>
      <w:r>
        <w:tab/>
      </w:r>
      <w:r>
        <w:fldChar w:fldCharType="begin"/>
      </w:r>
      <w:r>
        <w:instrText xml:space="preserve"> PAGEREF _Toc16473 \h </w:instrText>
      </w:r>
      <w:r>
        <w:fldChar w:fldCharType="separate"/>
      </w:r>
      <w:r>
        <w:t>17</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_Toc1638 </w:instrText>
      </w:r>
      <w:r>
        <w:rPr>
          <w:rFonts w:hint="eastAsia" w:ascii="宋体" w:hAnsi="宋体" w:cs="宋体"/>
          <w:bCs/>
          <w:szCs w:val="32"/>
          <w:highlight w:val="none"/>
        </w:rPr>
        <w:fldChar w:fldCharType="separate"/>
      </w:r>
      <w:r>
        <w:rPr>
          <w:rFonts w:hint="eastAsia"/>
          <w:szCs w:val="28"/>
          <w:highlight w:val="none"/>
        </w:rPr>
        <w:t>第五章  采购合同</w:t>
      </w:r>
      <w:r>
        <w:tab/>
      </w:r>
      <w:r>
        <w:fldChar w:fldCharType="begin"/>
      </w:r>
      <w:r>
        <w:instrText xml:space="preserve"> PAGEREF _Toc1638 \h </w:instrText>
      </w:r>
      <w:r>
        <w:fldChar w:fldCharType="separate"/>
      </w:r>
      <w:r>
        <w:t>19</w:t>
      </w:r>
      <w:r>
        <w:fldChar w:fldCharType="end"/>
      </w:r>
      <w:r>
        <w:rPr>
          <w:rFonts w:hint="eastAsia" w:ascii="宋体" w:hAnsi="宋体" w:cs="宋体"/>
          <w:bCs/>
          <w:color w:val="auto"/>
          <w:szCs w:val="32"/>
          <w:highlight w:val="none"/>
        </w:rPr>
        <w:fldChar w:fldCharType="end"/>
      </w:r>
    </w:p>
    <w:p>
      <w:pPr>
        <w:pStyle w:val="23"/>
        <w:keepNext w:val="0"/>
        <w:keepLines w:val="0"/>
        <w:pageBreakBefore w:val="0"/>
        <w:tabs>
          <w:tab w:val="right" w:leader="dot" w:pos="8958"/>
        </w:tabs>
        <w:kinsoku/>
        <w:wordWrap/>
        <w:overflowPunct/>
        <w:topLinePunct w:val="0"/>
        <w:autoSpaceDE/>
        <w:autoSpaceDN/>
        <w:bidi w:val="0"/>
        <w:adjustRightInd/>
        <w:spacing w:line="360" w:lineRule="auto"/>
        <w:textAlignment w:val="auto"/>
      </w:pPr>
      <w:r>
        <w:rPr>
          <w:rFonts w:hint="eastAsia" w:ascii="宋体" w:hAnsi="宋体" w:cs="宋体"/>
          <w:bCs/>
          <w:color w:val="auto"/>
          <w:szCs w:val="32"/>
          <w:highlight w:val="none"/>
        </w:rPr>
        <w:fldChar w:fldCharType="begin"/>
      </w:r>
      <w:r>
        <w:rPr>
          <w:rFonts w:hint="eastAsia" w:ascii="宋体" w:hAnsi="宋体" w:cs="宋体"/>
          <w:bCs/>
          <w:szCs w:val="32"/>
          <w:highlight w:val="none"/>
        </w:rPr>
        <w:instrText xml:space="preserve"> HYPERLINK \l _Toc5963 </w:instrText>
      </w:r>
      <w:r>
        <w:rPr>
          <w:rFonts w:hint="eastAsia" w:ascii="宋体" w:hAnsi="宋体" w:cs="宋体"/>
          <w:bCs/>
          <w:szCs w:val="32"/>
          <w:highlight w:val="none"/>
        </w:rPr>
        <w:fldChar w:fldCharType="separate"/>
      </w:r>
      <w:r>
        <w:rPr>
          <w:rFonts w:hint="eastAsia"/>
          <w:szCs w:val="32"/>
          <w:highlight w:val="none"/>
        </w:rPr>
        <w:t>第六章  投标文件格式</w:t>
      </w:r>
      <w:r>
        <w:tab/>
      </w:r>
      <w:r>
        <w:fldChar w:fldCharType="begin"/>
      </w:r>
      <w:r>
        <w:instrText xml:space="preserve"> PAGEREF _Toc5963 \h </w:instrText>
      </w:r>
      <w:r>
        <w:fldChar w:fldCharType="separate"/>
      </w:r>
      <w:r>
        <w:t>20</w:t>
      </w:r>
      <w:r>
        <w:fldChar w:fldCharType="end"/>
      </w:r>
      <w:r>
        <w:rPr>
          <w:rFonts w:hint="eastAsia" w:ascii="宋体" w:hAnsi="宋体" w:cs="宋体"/>
          <w:bCs/>
          <w:color w:val="auto"/>
          <w:szCs w:val="32"/>
          <w:highlight w:val="none"/>
        </w:rPr>
        <w:fldChar w:fldCharType="end"/>
      </w:r>
    </w:p>
    <w:p>
      <w:pPr>
        <w:pStyle w:val="82"/>
        <w:keepNext w:val="0"/>
        <w:keepLines w:val="0"/>
        <w:pageBreakBefore w:val="0"/>
        <w:tabs>
          <w:tab w:val="right" w:leader="dot" w:pos="8300"/>
        </w:tabs>
        <w:kinsoku/>
        <w:wordWrap/>
        <w:overflowPunct/>
        <w:topLinePunct w:val="0"/>
        <w:autoSpaceDE/>
        <w:autoSpaceDN/>
        <w:bidi w:val="0"/>
        <w:adjustRightInd/>
        <w:snapToGrid w:val="0"/>
        <w:spacing w:line="360" w:lineRule="auto"/>
        <w:textAlignment w:val="auto"/>
        <w:rPr>
          <w:rFonts w:ascii="宋体" w:hAnsi="宋体" w:cs="宋体"/>
          <w:color w:val="auto"/>
          <w:sz w:val="32"/>
          <w:szCs w:val="32"/>
          <w:highlight w:val="none"/>
        </w:rPr>
      </w:pPr>
      <w:r>
        <w:rPr>
          <w:rFonts w:hint="eastAsia" w:ascii="宋体" w:hAnsi="宋体" w:cs="宋体"/>
          <w:bCs/>
          <w:color w:val="auto"/>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22821"/>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宋体" w:hAnsi="宋体" w:eastAsia="宋体" w:cs="宋体"/>
          <w:b/>
          <w:bCs w:val="0"/>
          <w:color w:val="auto"/>
          <w:kern w:val="0"/>
          <w:sz w:val="28"/>
          <w:szCs w:val="28"/>
        </w:rPr>
      </w:pPr>
      <w:r>
        <w:rPr>
          <w:rFonts w:hint="eastAsia" w:ascii="宋体" w:hAnsi="宋体" w:cs="宋体"/>
          <w:b/>
          <w:bCs w:val="0"/>
          <w:color w:val="auto"/>
          <w:kern w:val="0"/>
          <w:sz w:val="28"/>
          <w:szCs w:val="28"/>
          <w:u w:val="none"/>
          <w:lang w:val="en-US" w:eastAsia="zh-CN"/>
        </w:rPr>
        <w:t>驻马店市中心医院飞利浦3.0T磁共振技术保项目</w:t>
      </w:r>
      <w:r>
        <w:rPr>
          <w:rFonts w:hint="eastAsia" w:ascii="宋体" w:hAnsi="宋体" w:eastAsia="宋体" w:cs="宋体"/>
          <w:b/>
          <w:bCs w:val="0"/>
          <w:color w:val="auto"/>
          <w:kern w:val="0"/>
          <w:sz w:val="28"/>
          <w:szCs w:val="28"/>
          <w:u w:val="none"/>
          <w:lang w:val="en-US" w:eastAsia="zh-CN"/>
        </w:rPr>
        <w:t>竞争性磋商</w:t>
      </w:r>
      <w:r>
        <w:rPr>
          <w:rFonts w:hint="eastAsia" w:ascii="宋体" w:hAnsi="宋体" w:eastAsia="宋体" w:cs="宋体"/>
          <w:b/>
          <w:bCs w:val="0"/>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cs="宋体"/>
          <w:color w:val="auto"/>
          <w:u w:val="single"/>
          <w:lang w:val="en-US" w:eastAsia="zh-CN"/>
        </w:rPr>
        <w:t xml:space="preserve"> 飞利浦3.0T磁共振技术保 </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val="en-US" w:eastAsia="zh-CN"/>
        </w:rPr>
        <w:t>驻马店市中心医院飞利浦3.0T磁共振技术保项目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49.00万元</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cs="宋体"/>
          <w:color w:val="auto"/>
          <w:szCs w:val="21"/>
          <w:highlight w:val="none"/>
          <w:shd w:val="clear" w:color="auto" w:fill="FFFFFF"/>
          <w:lang w:val="en-US" w:eastAsia="zh-CN"/>
        </w:rPr>
        <w:t>服务期限</w:t>
      </w:r>
      <w:r>
        <w:rPr>
          <w:rFonts w:hint="eastAsia" w:ascii="宋体" w:hAnsi="宋体" w:eastAsia="宋体" w:cs="宋体"/>
          <w:color w:val="auto"/>
          <w:szCs w:val="21"/>
          <w:highlight w:val="none"/>
          <w:shd w:val="clear" w:color="auto" w:fill="FFFFFF"/>
          <w:lang w:val="en-US" w:eastAsia="zh-CN"/>
        </w:rPr>
        <w:t>：</w:t>
      </w:r>
      <w:r>
        <w:rPr>
          <w:rFonts w:hint="eastAsia" w:ascii="宋体" w:hAnsi="宋体" w:cs="宋体"/>
          <w:color w:val="auto"/>
          <w:szCs w:val="21"/>
          <w:highlight w:val="none"/>
          <w:shd w:val="clear" w:color="auto" w:fill="FFFFFF"/>
          <w:lang w:val="en-US" w:eastAsia="zh-CN"/>
        </w:rPr>
        <w:t>1年</w:t>
      </w:r>
      <w:r>
        <w:rPr>
          <w:rFonts w:hint="eastAsia" w:ascii="宋体" w:hAnsi="宋体" w:eastAsia="宋体" w:cs="宋体"/>
          <w:color w:val="auto"/>
          <w:szCs w:val="21"/>
          <w:highlight w:val="none"/>
          <w:shd w:val="clear" w:color="auto" w:fill="FFFFFF"/>
          <w:lang w:val="en-US"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cs="宋体"/>
          <w:color w:val="auto"/>
          <w:szCs w:val="21"/>
          <w:highlight w:val="none"/>
          <w:shd w:val="clear" w:color="auto" w:fill="FFFFFF"/>
          <w:lang w:val="en-US" w:eastAsia="zh-CN"/>
        </w:rPr>
        <w:t>5</w:t>
      </w:r>
      <w:r>
        <w:rPr>
          <w:rFonts w:hint="eastAsia" w:ascii="宋体" w:hAnsi="宋体" w:eastAsia="宋体" w:cs="宋体"/>
          <w:color w:val="auto"/>
          <w:szCs w:val="21"/>
          <w:highlight w:val="none"/>
          <w:shd w:val="clear" w:color="auto" w:fill="FFFFFF"/>
        </w:rPr>
        <w:t>、质量要求：符合国家现行标准要求</w:t>
      </w:r>
      <w:r>
        <w:rPr>
          <w:rFonts w:hint="eastAsia" w:ascii="宋体" w:hAnsi="宋体" w:eastAsia="宋体" w:cs="宋体"/>
          <w:color w:val="auto"/>
          <w:szCs w:val="21"/>
          <w:highlight w:val="none"/>
          <w:shd w:val="clear" w:color="auto" w:fill="FFFFFF"/>
          <w:lang w:eastAsia="zh-CN"/>
        </w:rPr>
        <w:t>。</w:t>
      </w:r>
    </w:p>
    <w:p>
      <w:pPr>
        <w:keepNext w:val="0"/>
        <w:keepLines w:val="0"/>
        <w:widowControl/>
        <w:snapToGrid w:val="0"/>
        <w:spacing w:before="0" w:after="0" w:line="360" w:lineRule="auto"/>
        <w:jc w:val="left"/>
        <w:outlineLvl w:val="1"/>
        <w:rPr>
          <w:rFonts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pPr>
      <w:bookmarkStart w:id="4" w:name="_Toc18607"/>
      <w:bookmarkStart w:id="5" w:name="_Toc23626"/>
      <w:bookmarkStart w:id="6" w:name="_Toc16639"/>
      <w:bookmarkStart w:id="7" w:name="_Toc27704"/>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二、</w:t>
      </w:r>
      <w:bookmarkEnd w:id="3"/>
      <w:bookmarkEnd w:id="4"/>
      <w:bookmarkEnd w:id="5"/>
      <w:bookmarkEnd w:id="6"/>
      <w:bookmarkEnd w:id="7"/>
      <w:r>
        <w:rPr>
          <w:rFonts w:hint="eastAsia" w:ascii="宋体" w:hAnsi="宋体" w:eastAsia="宋体" w:cs="宋体"/>
          <w:b/>
          <w:bCs/>
          <w:color w:val="000000" w:themeColor="text1"/>
          <w:kern w:val="2"/>
          <w:sz w:val="21"/>
          <w:szCs w:val="21"/>
          <w:shd w:val="clear" w:color="auto" w:fill="FFFFFF"/>
          <w:lang w:val="en-US" w:eastAsia="zh-CN" w:bidi="ar-SA"/>
          <w14:textFill>
            <w14:solidFill>
              <w14:schemeClr w14:val="tx1"/>
            </w14:solidFill>
          </w14:textFill>
        </w:rPr>
        <w:t>供应商资格要求：</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bookmarkStart w:id="8" w:name="_Toc30643"/>
      <w:bookmarkStart w:id="9" w:name="_Toc9562"/>
      <w:bookmarkStart w:id="10" w:name="_Toc30971"/>
      <w:bookmarkStart w:id="11" w:name="_Toc7823"/>
      <w:bookmarkStart w:id="12" w:name="_Toc23395"/>
      <w:r>
        <w:rPr>
          <w:rFonts w:hint="eastAsia" w:ascii="宋体" w:hAnsi="宋体" w:eastAsia="宋体" w:cs="宋体"/>
          <w:color w:val="auto"/>
          <w:szCs w:val="21"/>
          <w:highlight w:val="none"/>
          <w:shd w:val="clear" w:color="auto" w:fill="FFFFFF"/>
          <w:lang w:val="en-US" w:eastAsia="zh-CN"/>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2、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3、具有履行合同所必需的设备和专业技术能力（提供书面声明函）；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4、参加本采购活动前三年内，在经营活动中没有重大违法记录（提供书面声明函）；</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5、符合法律、行政法规规定的其他条件；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6、特定资格要求：供应商须具有医疗器械经营许可证，是在中华人民共和国境内注册的设备原制造厂商或原制造厂商授权的单位或具备相关设备维修能力的单位（提供证明文件）。</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lang w:val="en-US" w:eastAsia="zh-CN"/>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r>
        <w:rPr>
          <w:rFonts w:hint="eastAsia" w:ascii="宋体" w:hAnsi="宋体" w:cs="宋体"/>
          <w:b/>
          <w:bCs/>
          <w:color w:val="auto"/>
          <w:kern w:val="2"/>
          <w:sz w:val="21"/>
          <w:szCs w:val="24"/>
          <w:lang w:val="en-US" w:eastAsia="zh-CN" w:bidi="ar-SA"/>
        </w:rPr>
        <w:t>三</w:t>
      </w:r>
      <w:r>
        <w:rPr>
          <w:rFonts w:hint="eastAsia" w:ascii="宋体" w:hAnsi="宋体" w:eastAsia="宋体" w:cs="宋体"/>
          <w:b/>
          <w:bCs/>
          <w:color w:val="auto"/>
          <w:kern w:val="2"/>
          <w:sz w:val="21"/>
          <w:szCs w:val="24"/>
          <w:lang w:val="en-US" w:eastAsia="zh-CN" w:bidi="ar-SA"/>
        </w:rPr>
        <w:t>、获取采购文件</w:t>
      </w:r>
      <w:bookmarkEnd w:id="8"/>
      <w:bookmarkEnd w:id="9"/>
      <w:bookmarkEnd w:id="10"/>
      <w:bookmarkEnd w:id="11"/>
      <w:bookmarkEnd w:id="12"/>
    </w:p>
    <w:p>
      <w:pPr>
        <w:widowControl/>
        <w:adjustRightInd w:val="0"/>
        <w:snapToGrid w:val="0"/>
        <w:spacing w:line="360" w:lineRule="auto"/>
        <w:ind w:firstLine="420" w:firstLineChars="200"/>
        <w:jc w:val="left"/>
        <w:rPr>
          <w:rFonts w:hint="default" w:ascii="宋体" w:hAnsi="宋体" w:eastAsia="宋体" w:cs="宋体"/>
          <w:color w:val="000000" w:themeColor="text1"/>
          <w:szCs w:val="21"/>
          <w:shd w:val="clear" w:color="auto" w:fill="FFFFFF"/>
          <w:lang w:val="en-US"/>
          <w14:textFill>
            <w14:solidFill>
              <w14:schemeClr w14:val="tx1"/>
            </w14:solidFill>
          </w14:textFill>
        </w:rPr>
      </w:pPr>
      <w:r>
        <w:rPr>
          <w:rFonts w:hint="eastAsia" w:ascii="宋体" w:hAnsi="宋体" w:eastAsia="宋体" w:cs="宋体"/>
          <w:color w:val="auto"/>
          <w:szCs w:val="21"/>
          <w:shd w:val="clear" w:color="auto" w:fill="FFFFFF"/>
        </w:rPr>
        <w:t>1</w:t>
      </w:r>
      <w:r>
        <w:rPr>
          <w:rFonts w:hint="eastAsia" w:ascii="宋体" w:hAnsi="宋体" w:cs="宋体"/>
          <w:color w:val="000000" w:themeColor="text1"/>
          <w:szCs w:val="21"/>
          <w:shd w:val="clear" w:color="auto" w:fill="FFFFFF"/>
          <w:lang w:val="en-US" w:eastAsia="zh-CN"/>
          <w14:textFill>
            <w14:solidFill>
              <w14:schemeClr w14:val="tx1"/>
            </w14:solidFill>
          </w14:textFill>
        </w:rPr>
        <w:t>报名</w:t>
      </w:r>
      <w:r>
        <w:rPr>
          <w:rFonts w:hint="eastAsia" w:ascii="宋体" w:hAnsi="宋体" w:eastAsia="宋体" w:cs="宋体"/>
          <w:color w:val="000000" w:themeColor="text1"/>
          <w:szCs w:val="21"/>
          <w:shd w:val="clear" w:color="auto" w:fill="FFFFFF"/>
          <w14:textFill>
            <w14:solidFill>
              <w14:schemeClr w14:val="tx1"/>
            </w14:solidFill>
          </w14:textFill>
        </w:rPr>
        <w:t>时间：</w:t>
      </w:r>
      <w:r>
        <w:rPr>
          <w:rFonts w:hint="eastAsia" w:ascii="宋体" w:hAnsi="宋体" w:eastAsia="宋体" w:cs="宋体"/>
          <w:color w:val="FF0000"/>
          <w:szCs w:val="21"/>
          <w:highlight w:val="none"/>
          <w:shd w:val="clear" w:color="auto" w:fill="FFFFFF"/>
        </w:rPr>
        <w:t>20</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22</w:t>
      </w:r>
      <w:r>
        <w:rPr>
          <w:rFonts w:hint="eastAsia" w:ascii="宋体" w:hAnsi="宋体" w:eastAsia="宋体" w:cs="宋体"/>
          <w:color w:val="FF0000"/>
          <w:szCs w:val="21"/>
          <w:highlight w:val="none"/>
          <w:shd w:val="clear" w:color="auto" w:fill="FFFFFF"/>
        </w:rPr>
        <w:t>日-202</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年</w:t>
      </w:r>
      <w:r>
        <w:rPr>
          <w:rFonts w:hint="eastAsia" w:ascii="宋体" w:hAnsi="宋体" w:cs="宋体"/>
          <w:color w:val="FF0000"/>
          <w:szCs w:val="21"/>
          <w:highlight w:val="none"/>
          <w:shd w:val="clear" w:color="auto" w:fill="FFFFFF"/>
          <w:lang w:val="en-US" w:eastAsia="zh-CN"/>
        </w:rPr>
        <w:t>4</w:t>
      </w:r>
      <w:r>
        <w:rPr>
          <w:rFonts w:hint="eastAsia" w:ascii="宋体" w:hAnsi="宋体" w:eastAsia="宋体" w:cs="宋体"/>
          <w:color w:val="FF0000"/>
          <w:szCs w:val="21"/>
          <w:highlight w:val="none"/>
          <w:shd w:val="clear" w:color="auto" w:fill="FFFFFF"/>
        </w:rPr>
        <w:t>月</w:t>
      </w:r>
      <w:r>
        <w:rPr>
          <w:rFonts w:hint="eastAsia" w:ascii="宋体" w:hAnsi="宋体" w:cs="宋体"/>
          <w:color w:val="FF0000"/>
          <w:szCs w:val="21"/>
          <w:highlight w:val="none"/>
          <w:shd w:val="clear" w:color="auto" w:fill="FFFFFF"/>
          <w:lang w:val="en-US" w:eastAsia="zh-CN"/>
        </w:rPr>
        <w:t>24</w:t>
      </w:r>
      <w:r>
        <w:rPr>
          <w:rFonts w:hint="eastAsia" w:ascii="宋体" w:hAnsi="宋体" w:eastAsia="宋体" w:cs="宋体"/>
          <w:color w:val="FF0000"/>
          <w:szCs w:val="21"/>
          <w:highlight w:val="none"/>
          <w:shd w:val="clear" w:color="auto" w:fill="FFFFFF"/>
        </w:rPr>
        <w:t>日</w:t>
      </w:r>
      <w:r>
        <w:rPr>
          <w:rFonts w:hint="eastAsia" w:ascii="宋体" w:hAnsi="宋体" w:eastAsia="宋体" w:cs="宋体"/>
          <w:color w:val="000000" w:themeColor="text1"/>
          <w:szCs w:val="21"/>
          <w:shd w:val="clear" w:color="auto" w:fill="FFFFFF"/>
          <w14:textFill>
            <w14:solidFill>
              <w14:schemeClr w14:val="tx1"/>
            </w14:solidFill>
          </w14:textFill>
        </w:rPr>
        <w:t>，上午8：30-11:30，下午14:30-17:30（北京时间，法定节假日除外）</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2.凡报名成功的供应商无故不来参与投标的，列入我院黑名</w:t>
      </w:r>
      <w:r>
        <w:rPr>
          <w:rFonts w:hint="eastAsia" w:ascii="宋体" w:hAnsi="宋体" w:eastAsia="宋体" w:cs="宋体"/>
          <w:color w:val="auto"/>
          <w:kern w:val="0"/>
          <w:sz w:val="21"/>
          <w:szCs w:val="21"/>
          <w:shd w:val="clear" w:color="auto" w:fill="FFFFFF"/>
          <w:lang w:val="en-US" w:eastAsia="zh-CN" w:bidi="ar-SA"/>
        </w:rPr>
        <w:t xml:space="preserve">单，一年内不得参与我院任何采购活动。中标供应商缴纳相应服务费。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934027204@qq.com并标明XX公司XX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3" w:name="_Toc25869"/>
      <w:bookmarkStart w:id="14" w:name="_Toc15135"/>
      <w:bookmarkStart w:id="15" w:name="_Toc15111"/>
      <w:bookmarkStart w:id="16" w:name="_Toc27480"/>
      <w:bookmarkStart w:id="17" w:name="_Toc10738"/>
      <w:r>
        <w:rPr>
          <w:rFonts w:hint="eastAsia" w:ascii="宋体" w:hAnsi="宋体" w:cs="宋体"/>
          <w:b/>
          <w:bCs/>
          <w:color w:val="auto"/>
          <w:kern w:val="2"/>
          <w:sz w:val="21"/>
          <w:szCs w:val="21"/>
          <w:shd w:val="clear" w:color="auto" w:fill="FFFFFF"/>
          <w:lang w:val="en-US" w:eastAsia="zh-CN" w:bidi="ar-SA"/>
        </w:rPr>
        <w:t>四</w:t>
      </w:r>
      <w:r>
        <w:rPr>
          <w:rFonts w:hint="eastAsia" w:ascii="宋体" w:hAnsi="宋体" w:eastAsia="宋体" w:cs="宋体"/>
          <w:b/>
          <w:bCs/>
          <w:color w:val="auto"/>
          <w:kern w:val="2"/>
          <w:sz w:val="21"/>
          <w:szCs w:val="21"/>
          <w:shd w:val="clear" w:color="auto" w:fill="FFFFFF"/>
          <w:lang w:val="en-US" w:eastAsia="zh-CN" w:bidi="ar-SA"/>
        </w:rPr>
        <w:t>、投标截止时间及地点</w:t>
      </w:r>
      <w:bookmarkEnd w:id="13"/>
      <w:bookmarkEnd w:id="14"/>
      <w:bookmarkEnd w:id="15"/>
      <w:bookmarkEnd w:id="16"/>
      <w:bookmarkEnd w:id="17"/>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cs="宋体"/>
          <w:b/>
          <w:bCs/>
          <w:color w:val="auto"/>
          <w:kern w:val="2"/>
          <w:sz w:val="21"/>
          <w:szCs w:val="21"/>
          <w:shd w:val="clear" w:color="auto" w:fill="FFFFFF"/>
          <w:lang w:val="en-US" w:eastAsia="zh-CN" w:bidi="ar-SA"/>
        </w:rPr>
        <w:t>五</w:t>
      </w:r>
      <w:r>
        <w:rPr>
          <w:rFonts w:hint="eastAsia" w:ascii="宋体" w:hAnsi="宋体" w:eastAsia="宋体" w:cs="宋体"/>
          <w:b/>
          <w:bCs/>
          <w:color w:val="auto"/>
          <w:kern w:val="2"/>
          <w:sz w:val="21"/>
          <w:szCs w:val="21"/>
          <w:shd w:val="clear" w:color="auto" w:fill="FFFFFF"/>
          <w:lang w:val="en-US" w:eastAsia="zh-CN" w:bidi="ar-SA"/>
        </w:rPr>
        <w:t>、开标时间及地点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cs="宋体"/>
          <w:color w:val="auto"/>
          <w:sz w:val="21"/>
          <w:szCs w:val="21"/>
          <w:shd w:val="clear" w:color="auto" w:fill="auto"/>
          <w:lang w:val="en-US" w:eastAsia="zh-CN"/>
        </w:rPr>
        <w:t>另行通知</w:t>
      </w:r>
      <w:r>
        <w:rPr>
          <w:rFonts w:hint="eastAsia" w:ascii="宋体" w:hAnsi="宋体" w:cs="宋体"/>
          <w:color w:val="auto"/>
          <w:kern w:val="0"/>
          <w:sz w:val="21"/>
          <w:szCs w:val="21"/>
          <w:highlight w:val="none"/>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cs="宋体"/>
          <w:color w:val="auto"/>
          <w:sz w:val="21"/>
          <w:szCs w:val="21"/>
          <w:shd w:val="clear" w:color="auto" w:fill="auto"/>
          <w:lang w:val="en-US" w:eastAsia="zh-CN"/>
        </w:rPr>
        <w:t>另行通知</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9784"/>
      <w:bookmarkStart w:id="19" w:name="_Toc20287"/>
      <w:bookmarkStart w:id="20" w:name="_Toc30918"/>
      <w:bookmarkStart w:id="21" w:name="_Toc6523"/>
      <w:r>
        <w:rPr>
          <w:rFonts w:hint="eastAsia" w:ascii="宋体" w:hAnsi="宋体" w:cs="宋体"/>
          <w:b/>
          <w:bCs/>
          <w:color w:val="auto"/>
          <w:kern w:val="2"/>
          <w:sz w:val="21"/>
          <w:szCs w:val="21"/>
          <w:shd w:val="clear" w:color="auto" w:fill="FFFFFF"/>
          <w:lang w:val="en-US" w:eastAsia="zh-CN" w:bidi="ar-SA"/>
        </w:rPr>
        <w:t>六</w:t>
      </w:r>
      <w:r>
        <w:rPr>
          <w:rFonts w:hint="eastAsia" w:ascii="宋体" w:hAnsi="宋体" w:eastAsia="宋体" w:cs="宋体"/>
          <w:b/>
          <w:bCs/>
          <w:color w:val="auto"/>
          <w:kern w:val="2"/>
          <w:sz w:val="21"/>
          <w:szCs w:val="21"/>
          <w:shd w:val="clear" w:color="auto" w:fill="FFFFFF"/>
          <w:lang w:val="en-US" w:eastAsia="zh-CN" w:bidi="ar-SA"/>
        </w:rPr>
        <w:t>、发布公告的媒介及</w:t>
      </w:r>
      <w:r>
        <w:rPr>
          <w:rFonts w:hint="eastAsia" w:ascii="宋体" w:hAnsi="宋体" w:eastAsia="宋体" w:cs="宋体"/>
          <w:b/>
          <w:bCs/>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18"/>
      <w:bookmarkEnd w:id="19"/>
      <w:bookmarkEnd w:id="20"/>
      <w:bookmarkEnd w:id="21"/>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2" w:name="_Toc35393795"/>
      <w:bookmarkStart w:id="23" w:name="_Toc35393626"/>
    </w:p>
    <w:bookmarkEnd w:id="22"/>
    <w:bookmarkEnd w:id="23"/>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4" w:name="_Toc16291"/>
      <w:bookmarkStart w:id="25" w:name="_Toc3604"/>
      <w:bookmarkStart w:id="26" w:name="_Toc31928"/>
      <w:bookmarkStart w:id="27" w:name="_Toc24274"/>
      <w:bookmarkStart w:id="28" w:name="_Toc27370"/>
      <w:r>
        <w:rPr>
          <w:rFonts w:hint="eastAsia" w:ascii="宋体" w:hAnsi="宋体" w:cs="宋体"/>
          <w:b/>
          <w:bCs/>
          <w:color w:val="auto"/>
          <w:kern w:val="2"/>
          <w:sz w:val="21"/>
          <w:szCs w:val="21"/>
          <w:shd w:val="clear" w:color="auto" w:fill="FFFFFF"/>
          <w:lang w:val="en-US" w:eastAsia="zh-CN" w:bidi="ar-SA"/>
        </w:rPr>
        <w:t>七</w:t>
      </w:r>
      <w:r>
        <w:rPr>
          <w:rFonts w:hint="eastAsia" w:ascii="宋体" w:hAnsi="宋体" w:eastAsia="宋体" w:cs="宋体"/>
          <w:b/>
          <w:bCs/>
          <w:color w:val="auto"/>
          <w:kern w:val="2"/>
          <w:sz w:val="21"/>
          <w:szCs w:val="21"/>
          <w:shd w:val="clear" w:color="auto" w:fill="FFFFFF"/>
          <w:lang w:val="en-US" w:eastAsia="zh-CN" w:bidi="ar-SA"/>
        </w:rPr>
        <w:t>、</w:t>
      </w:r>
      <w:bookmarkEnd w:id="24"/>
      <w:bookmarkEnd w:id="25"/>
      <w:bookmarkEnd w:id="26"/>
      <w:bookmarkEnd w:id="27"/>
      <w:bookmarkEnd w:id="28"/>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1.采购人：驻马店市中心医院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地址：驻马店市中华大道747号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联系人：陈先生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电话：0396-2726379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2.采购代理机构：河南省伟信招标管理咨询有限公司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地址：郑州市郑东新区东风南路与创业路交叉口绿地中心北塔16楼</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联系方式：18838148020</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3.监督部门：驻马店市中心医院纪检监察室 </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 xml:space="preserve">监督电话：0396-2726678 </w:t>
      </w:r>
    </w:p>
    <w:p>
      <w:pPr>
        <w:pStyle w:val="30"/>
        <w:rPr>
          <w:rFonts w:hint="eastAsia"/>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pPr>
      <w:r>
        <w:rPr>
          <w:rFonts w:hint="eastAsia" w:ascii="宋体" w:hAnsi="宋体" w:eastAsia="宋体" w:cs="宋体"/>
          <w:kern w:val="0"/>
          <w:sz w:val="21"/>
          <w:szCs w:val="21"/>
          <w:shd w:val="clear" w:color="auto" w:fill="FFFFFF"/>
          <w:lang w:val="en-US" w:eastAsia="zh-CN" w:bidi="ar-SA"/>
        </w:rPr>
        <w:t>驻马</w:t>
      </w:r>
      <w:r>
        <w:rPr>
          <w:rFonts w:hint="eastAsia" w:ascii="宋体" w:hAnsi="宋体" w:eastAsia="宋体" w:cs="宋体"/>
          <w:color w:val="000000" w:themeColor="text1"/>
          <w:kern w:val="0"/>
          <w:sz w:val="21"/>
          <w:szCs w:val="21"/>
          <w:shd w:val="clear" w:color="auto" w:fill="FFFFFF"/>
          <w:lang w:val="en-US" w:eastAsia="zh-CN" w:bidi="ar-SA"/>
          <w14:textFill>
            <w14:solidFill>
              <w14:schemeClr w14:val="tx1"/>
            </w14:solidFill>
          </w14:textFill>
        </w:rPr>
        <w:t>店市中心医院采购科</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r>
        <w:rPr>
          <w:rFonts w:hint="eastAsia" w:ascii="宋体" w:hAnsi="宋体" w:cs="宋体"/>
          <w:color w:val="000000" w:themeColor="text1"/>
          <w:kern w:val="0"/>
          <w:sz w:val="21"/>
          <w:szCs w:val="21"/>
          <w:shd w:val="clear" w:color="auto" w:fill="FFFFFF"/>
          <w:lang w:val="en-US" w:eastAsia="zh-CN" w:bidi="ar-SA"/>
          <w14:textFill>
            <w14:solidFill>
              <w14:schemeClr w14:val="tx1"/>
            </w14:solidFill>
          </w14:textFill>
        </w:rPr>
        <w:t xml:space="preserve">                                                     </w:t>
      </w:r>
      <w:r>
        <w:rPr>
          <w:rFonts w:hint="eastAsia" w:ascii="宋体" w:hAnsi="宋体" w:cs="宋体"/>
          <w:color w:val="auto"/>
          <w:kern w:val="0"/>
          <w:sz w:val="21"/>
          <w:szCs w:val="21"/>
          <w:shd w:val="clear" w:color="auto" w:fill="FFFFFF"/>
          <w:lang w:val="en-US" w:eastAsia="zh-CN" w:bidi="ar-SA"/>
        </w:rPr>
        <w:t xml:space="preserve">    </w:t>
      </w:r>
      <w:r>
        <w:rPr>
          <w:rFonts w:hint="eastAsia" w:ascii="宋体" w:hAnsi="宋体" w:eastAsia="宋体" w:cs="宋体"/>
          <w:color w:val="FF0000"/>
          <w:kern w:val="0"/>
          <w:sz w:val="21"/>
          <w:szCs w:val="21"/>
          <w:highlight w:val="none"/>
          <w:shd w:val="clear" w:color="auto" w:fill="FFFFFF"/>
          <w:lang w:val="en-US" w:eastAsia="zh-CN" w:bidi="ar-SA"/>
        </w:rPr>
        <w:t>202</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年</w:t>
      </w:r>
      <w:r>
        <w:rPr>
          <w:rFonts w:hint="eastAsia" w:ascii="宋体" w:hAnsi="宋体" w:cs="宋体"/>
          <w:color w:val="FF0000"/>
          <w:kern w:val="0"/>
          <w:sz w:val="21"/>
          <w:szCs w:val="21"/>
          <w:highlight w:val="none"/>
          <w:shd w:val="clear" w:color="auto" w:fill="FFFFFF"/>
          <w:lang w:val="en-US" w:eastAsia="zh-CN" w:bidi="ar-SA"/>
        </w:rPr>
        <w:t>4</w:t>
      </w:r>
      <w:r>
        <w:rPr>
          <w:rFonts w:hint="eastAsia" w:ascii="宋体" w:hAnsi="宋体" w:eastAsia="宋体" w:cs="宋体"/>
          <w:color w:val="FF0000"/>
          <w:kern w:val="0"/>
          <w:sz w:val="21"/>
          <w:szCs w:val="21"/>
          <w:highlight w:val="none"/>
          <w:shd w:val="clear" w:color="auto" w:fill="FFFFFF"/>
          <w:lang w:val="en-US" w:eastAsia="zh-CN" w:bidi="ar-SA"/>
        </w:rPr>
        <w:t>月</w:t>
      </w:r>
      <w:r>
        <w:rPr>
          <w:rFonts w:hint="eastAsia" w:ascii="宋体" w:hAnsi="宋体" w:cs="宋体"/>
          <w:color w:val="FF0000"/>
          <w:kern w:val="0"/>
          <w:sz w:val="21"/>
          <w:szCs w:val="21"/>
          <w:highlight w:val="none"/>
          <w:shd w:val="clear" w:color="auto" w:fill="FFFFFF"/>
          <w:lang w:val="en-US" w:eastAsia="zh-CN" w:bidi="ar-SA"/>
        </w:rPr>
        <w:t>19</w:t>
      </w:r>
      <w:bookmarkStart w:id="95" w:name="_GoBack"/>
      <w:bookmarkEnd w:id="95"/>
      <w:r>
        <w:rPr>
          <w:rFonts w:hint="eastAsia" w:ascii="宋体" w:hAnsi="宋体" w:eastAsia="宋体" w:cs="宋体"/>
          <w:color w:val="FF0000"/>
          <w:kern w:val="0"/>
          <w:sz w:val="21"/>
          <w:szCs w:val="21"/>
          <w:highlight w:val="none"/>
          <w:shd w:val="clear" w:color="auto" w:fill="FFFFFF"/>
          <w:lang w:val="en-US" w:eastAsia="zh-CN" w:bidi="ar-SA"/>
        </w:rPr>
        <w:t>日</w:t>
      </w: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jc w:val="center"/>
        <w:rPr>
          <w:rFonts w:hint="eastAsia" w:ascii="宋体" w:hAnsi="宋体" w:eastAsia="宋体" w:cs="宋体"/>
          <w:color w:val="FF0000"/>
          <w:kern w:val="0"/>
          <w:sz w:val="21"/>
          <w:szCs w:val="21"/>
          <w:highlight w:val="none"/>
          <w:shd w:val="clear" w:color="auto" w:fill="FFFFFF"/>
          <w:lang w:val="en-US" w:eastAsia="zh-CN" w:bidi="ar-SA"/>
        </w:rPr>
      </w:pPr>
    </w:p>
    <w:p>
      <w:pPr>
        <w:pStyle w:val="28"/>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rPr>
          <w:rFonts w:hint="eastAsia" w:ascii="宋体" w:hAnsi="宋体"/>
          <w:b/>
          <w:color w:val="auto"/>
          <w:sz w:val="32"/>
          <w:szCs w:val="32"/>
          <w:highlight w:val="none"/>
        </w:rPr>
      </w:pPr>
      <w:bookmarkStart w:id="29" w:name="_Toc23793"/>
      <w:bookmarkStart w:id="30" w:name="_Toc29890"/>
      <w:r>
        <w:rPr>
          <w:rFonts w:hint="eastAsia" w:ascii="宋体" w:hAnsi="宋体"/>
          <w:b/>
          <w:color w:val="auto"/>
          <w:sz w:val="32"/>
          <w:szCs w:val="32"/>
          <w:highlight w:val="none"/>
        </w:rPr>
        <w:br w:type="page"/>
      </w:r>
    </w:p>
    <w:p>
      <w:pPr>
        <w:widowControl/>
        <w:spacing w:line="360" w:lineRule="auto"/>
        <w:ind w:firstLine="643" w:firstLineChars="200"/>
        <w:jc w:val="center"/>
        <w:outlineLvl w:val="0"/>
        <w:rPr>
          <w:rFonts w:ascii="宋体" w:hAnsi="宋体"/>
          <w:b/>
          <w:color w:val="auto"/>
          <w:sz w:val="32"/>
          <w:szCs w:val="32"/>
          <w:highlight w:val="none"/>
        </w:rPr>
      </w:pPr>
      <w:bookmarkStart w:id="31" w:name="_Toc17552"/>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1"/>
      <w:bookmarkStart w:id="32" w:name="_Toc31536"/>
      <w:bookmarkStart w:id="33" w:name="_Toc23610"/>
      <w:bookmarkStart w:id="34" w:name="_Toc9989"/>
    </w:p>
    <w:bookmarkEnd w:id="29"/>
    <w:bookmarkEnd w:id="30"/>
    <w:bookmarkEnd w:id="32"/>
    <w:bookmarkEnd w:id="33"/>
    <w:bookmarkEnd w:id="34"/>
    <w:p>
      <w:pPr>
        <w:keepNext w:val="0"/>
        <w:keepLines w:val="0"/>
        <w:pageBreakBefore w:val="0"/>
        <w:widowControl w:val="0"/>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eastAsia="宋体" w:cs="宋体"/>
          <w:i w:val="0"/>
          <w:iCs/>
          <w:sz w:val="21"/>
          <w:szCs w:val="21"/>
          <w:highlight w:val="none"/>
          <w:u w:val="none"/>
          <w:lang w:val="en-US" w:eastAsia="zh-CN"/>
        </w:rPr>
      </w:pPr>
      <w:r>
        <w:rPr>
          <w:rFonts w:hint="eastAsia" w:ascii="宋体" w:hAnsi="宋体" w:eastAsia="宋体" w:cs="宋体"/>
          <w:b/>
          <w:bCs/>
          <w:i w:val="0"/>
          <w:iCs/>
          <w:sz w:val="21"/>
          <w:szCs w:val="21"/>
          <w:highlight w:val="none"/>
          <w:u w:val="none"/>
          <w:lang w:val="en-US" w:eastAsia="zh-CN"/>
        </w:rPr>
        <w:t>一、项目名称：</w:t>
      </w:r>
      <w:r>
        <w:rPr>
          <w:rFonts w:hint="eastAsia" w:ascii="宋体" w:hAnsi="宋体" w:eastAsia="宋体" w:cs="宋体"/>
          <w:i w:val="0"/>
          <w:iCs/>
          <w:sz w:val="21"/>
          <w:szCs w:val="21"/>
          <w:highlight w:val="none"/>
          <w:u w:val="none"/>
          <w:lang w:val="en-US" w:eastAsia="zh-CN"/>
        </w:rPr>
        <w:t>驻马店市中心医院</w:t>
      </w:r>
      <w:r>
        <w:rPr>
          <w:rFonts w:hint="eastAsia" w:ascii="宋体" w:hAnsi="宋体" w:cs="宋体"/>
          <w:i w:val="0"/>
          <w:iCs/>
          <w:sz w:val="21"/>
          <w:szCs w:val="21"/>
          <w:highlight w:val="none"/>
          <w:u w:val="none"/>
          <w:lang w:val="en-US" w:eastAsia="zh-CN"/>
        </w:rPr>
        <w:t>飞利浦3.0T磁共振技术保项目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default" w:cs="宋体"/>
          <w:b/>
          <w:bCs/>
          <w:kern w:val="2"/>
          <w:sz w:val="21"/>
          <w:szCs w:val="24"/>
          <w:lang w:val="en-US" w:eastAsia="zh-CN" w:bidi="ar-SA"/>
        </w:rPr>
      </w:pPr>
      <w:r>
        <w:rPr>
          <w:rFonts w:hint="eastAsia" w:cs="宋体"/>
          <w:b/>
          <w:bCs/>
          <w:kern w:val="2"/>
          <w:sz w:val="21"/>
          <w:szCs w:val="24"/>
          <w:lang w:val="en-US" w:eastAsia="zh-CN" w:bidi="ar-SA"/>
        </w:rPr>
        <w:t>项目概况：</w:t>
      </w:r>
      <w:r>
        <w:rPr>
          <w:rFonts w:hint="eastAsia" w:cs="宋体"/>
          <w:b w:val="0"/>
          <w:bCs w:val="0"/>
          <w:kern w:val="2"/>
          <w:sz w:val="21"/>
          <w:szCs w:val="24"/>
          <w:lang w:val="en-US" w:eastAsia="zh-CN" w:bidi="ar-SA"/>
        </w:rPr>
        <w:t>飞利浦3.0T磁共振技术保一年， 并包含（除磁体、线圈、制冷系统）两个配件的更换及一次线圈的维修。</w:t>
      </w:r>
    </w:p>
    <w:p>
      <w:pPr>
        <w:pStyle w:val="13"/>
        <w:keepNext w:val="0"/>
        <w:keepLines w:val="0"/>
        <w:pageBreakBefore w:val="0"/>
        <w:widowControl/>
        <w:numPr>
          <w:ilvl w:val="0"/>
          <w:numId w:val="0"/>
        </w:numPr>
        <w:kinsoku/>
        <w:wordWrap/>
        <w:overflowPunct/>
        <w:topLinePunct w:val="0"/>
        <w:autoSpaceDE/>
        <w:autoSpaceDN/>
        <w:bidi w:val="0"/>
        <w:adjustRightInd/>
        <w:snapToGrid w:val="0"/>
        <w:spacing w:beforeAutospacing="0" w:afterAutospacing="0" w:line="480" w:lineRule="auto"/>
        <w:ind w:firstLine="422" w:firstLineChars="200"/>
        <w:jc w:val="both"/>
        <w:textAlignment w:val="auto"/>
        <w:rPr>
          <w:rFonts w:hint="eastAsia" w:cs="宋体"/>
          <w:b/>
          <w:bCs/>
          <w:kern w:val="2"/>
          <w:sz w:val="21"/>
          <w:szCs w:val="24"/>
          <w:lang w:val="en-US" w:eastAsia="zh-CN" w:bidi="ar-SA"/>
        </w:rPr>
      </w:pPr>
      <w:r>
        <w:rPr>
          <w:rFonts w:hint="eastAsia" w:cs="宋体"/>
          <w:b/>
          <w:bCs/>
          <w:kern w:val="2"/>
          <w:sz w:val="21"/>
          <w:szCs w:val="24"/>
          <w:lang w:val="en-US" w:eastAsia="zh-CN" w:bidi="ar-SA"/>
        </w:rPr>
        <w:t>二、采购标的清单：</w:t>
      </w:r>
    </w:p>
    <w:tbl>
      <w:tblPr>
        <w:tblStyle w:val="33"/>
        <w:tblW w:w="8781"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652"/>
        <w:gridCol w:w="2207"/>
        <w:gridCol w:w="5"/>
        <w:gridCol w:w="966"/>
        <w:gridCol w:w="725"/>
        <w:gridCol w:w="1377"/>
        <w:gridCol w:w="923"/>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b/>
                <w:bCs/>
                <w:lang w:val="en-US" w:eastAsia="zh-CN"/>
              </w:rPr>
            </w:pPr>
            <w:r>
              <w:rPr>
                <w:rFonts w:hint="eastAsia"/>
                <w:b/>
                <w:bCs/>
                <w:lang w:val="en-US" w:eastAsia="zh-CN"/>
              </w:rPr>
              <w:t>包号</w:t>
            </w:r>
          </w:p>
        </w:tc>
        <w:tc>
          <w:tcPr>
            <w:tcW w:w="652" w:type="dxa"/>
            <w:vAlign w:val="center"/>
          </w:tcPr>
          <w:p>
            <w:pPr>
              <w:pStyle w:val="14"/>
              <w:numPr>
                <w:ilvl w:val="0"/>
                <w:numId w:val="0"/>
              </w:numPr>
              <w:jc w:val="center"/>
              <w:rPr>
                <w:rFonts w:hint="eastAsia"/>
                <w:b/>
                <w:bCs/>
                <w:lang w:val="en-US" w:eastAsia="zh-CN"/>
              </w:rPr>
            </w:pPr>
            <w:r>
              <w:rPr>
                <w:rFonts w:hint="eastAsia"/>
                <w:b/>
                <w:bCs/>
                <w:lang w:val="en-US" w:eastAsia="zh-CN"/>
              </w:rPr>
              <w:t>序号</w:t>
            </w:r>
          </w:p>
        </w:tc>
        <w:tc>
          <w:tcPr>
            <w:tcW w:w="2207" w:type="dxa"/>
            <w:vAlign w:val="center"/>
          </w:tcPr>
          <w:p>
            <w:pPr>
              <w:pStyle w:val="14"/>
              <w:numPr>
                <w:ilvl w:val="0"/>
                <w:numId w:val="0"/>
              </w:numPr>
              <w:jc w:val="center"/>
              <w:rPr>
                <w:rFonts w:hint="eastAsia"/>
                <w:b/>
                <w:bCs/>
                <w:lang w:val="en-US" w:eastAsia="zh-CN"/>
              </w:rPr>
            </w:pPr>
            <w:r>
              <w:rPr>
                <w:rFonts w:hint="eastAsia"/>
                <w:b/>
                <w:bCs/>
                <w:lang w:val="en-US" w:eastAsia="zh-CN"/>
              </w:rPr>
              <w:t>标的名称</w:t>
            </w:r>
          </w:p>
        </w:tc>
        <w:tc>
          <w:tcPr>
            <w:tcW w:w="971" w:type="dxa"/>
            <w:gridSpan w:val="2"/>
            <w:vAlign w:val="center"/>
          </w:tcPr>
          <w:p>
            <w:pPr>
              <w:pStyle w:val="14"/>
              <w:numPr>
                <w:ilvl w:val="0"/>
                <w:numId w:val="0"/>
              </w:numPr>
              <w:jc w:val="center"/>
              <w:rPr>
                <w:rFonts w:hint="eastAsia"/>
                <w:b/>
                <w:bCs/>
                <w:lang w:val="en-US" w:eastAsia="zh-CN"/>
              </w:rPr>
            </w:pPr>
            <w:r>
              <w:rPr>
                <w:rFonts w:hint="eastAsia"/>
                <w:b/>
                <w:bCs/>
                <w:lang w:val="en-US" w:eastAsia="zh-CN"/>
              </w:rPr>
              <w:t>单位</w:t>
            </w:r>
          </w:p>
        </w:tc>
        <w:tc>
          <w:tcPr>
            <w:tcW w:w="725" w:type="dxa"/>
            <w:vAlign w:val="center"/>
          </w:tcPr>
          <w:p>
            <w:pPr>
              <w:pStyle w:val="14"/>
              <w:numPr>
                <w:ilvl w:val="0"/>
                <w:numId w:val="0"/>
              </w:numPr>
              <w:jc w:val="center"/>
              <w:rPr>
                <w:rFonts w:hint="eastAsia"/>
                <w:b/>
                <w:bCs/>
                <w:lang w:val="en-US" w:eastAsia="zh-CN"/>
              </w:rPr>
            </w:pPr>
            <w:r>
              <w:rPr>
                <w:rFonts w:hint="eastAsia"/>
                <w:b/>
                <w:bCs/>
                <w:lang w:val="en-US" w:eastAsia="zh-CN"/>
              </w:rPr>
              <w:t>数量</w:t>
            </w:r>
          </w:p>
        </w:tc>
        <w:tc>
          <w:tcPr>
            <w:tcW w:w="1377"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预算</w:t>
            </w:r>
          </w:p>
        </w:tc>
        <w:tc>
          <w:tcPr>
            <w:tcW w:w="923" w:type="dxa"/>
            <w:vAlign w:val="center"/>
          </w:tcPr>
          <w:p>
            <w:pPr>
              <w:pStyle w:val="14"/>
              <w:numPr>
                <w:ilvl w:val="0"/>
                <w:numId w:val="0"/>
              </w:numPr>
              <w:jc w:val="center"/>
              <w:rPr>
                <w:rFonts w:hint="eastAsia"/>
                <w:b/>
                <w:bCs/>
                <w:lang w:val="en-US" w:eastAsia="zh-CN"/>
              </w:rPr>
            </w:pPr>
            <w:r>
              <w:rPr>
                <w:rFonts w:hint="eastAsia"/>
                <w:b/>
                <w:bCs/>
                <w:lang w:val="en-US" w:eastAsia="zh-CN"/>
              </w:rPr>
              <w:t>资金</w:t>
            </w:r>
          </w:p>
          <w:p>
            <w:pPr>
              <w:pStyle w:val="14"/>
              <w:numPr>
                <w:ilvl w:val="0"/>
                <w:numId w:val="0"/>
              </w:numPr>
              <w:jc w:val="center"/>
              <w:rPr>
                <w:rFonts w:hint="eastAsia"/>
                <w:b/>
                <w:bCs/>
                <w:lang w:val="en-US" w:eastAsia="zh-CN"/>
              </w:rPr>
            </w:pPr>
            <w:r>
              <w:rPr>
                <w:rFonts w:hint="eastAsia"/>
                <w:b/>
                <w:bCs/>
                <w:lang w:val="en-US" w:eastAsia="zh-CN"/>
              </w:rPr>
              <w:t>性质</w:t>
            </w:r>
          </w:p>
        </w:tc>
        <w:tc>
          <w:tcPr>
            <w:tcW w:w="1202" w:type="dxa"/>
            <w:vAlign w:val="center"/>
          </w:tcPr>
          <w:p>
            <w:pPr>
              <w:pStyle w:val="14"/>
              <w:numPr>
                <w:ilvl w:val="0"/>
                <w:numId w:val="0"/>
              </w:numPr>
              <w:jc w:val="center"/>
              <w:rPr>
                <w:rFonts w:hint="eastAsia"/>
                <w:b/>
                <w:bCs/>
                <w:lang w:val="en-US" w:eastAsia="zh-CN"/>
              </w:rPr>
            </w:pPr>
            <w:r>
              <w:rPr>
                <w:rFonts w:hint="eastAsia"/>
                <w:b/>
                <w:bCs/>
                <w:lang w:val="en-US" w:eastAsia="zh-CN"/>
              </w:rPr>
              <w:t>国产/</w:t>
            </w:r>
          </w:p>
          <w:p>
            <w:pPr>
              <w:pStyle w:val="14"/>
              <w:numPr>
                <w:ilvl w:val="0"/>
                <w:numId w:val="0"/>
              </w:numPr>
              <w:jc w:val="center"/>
              <w:rPr>
                <w:rFonts w:hint="eastAsia"/>
                <w:b/>
                <w:bCs/>
                <w:lang w:val="en-US" w:eastAsia="zh-CN"/>
              </w:rPr>
            </w:pPr>
            <w:r>
              <w:rPr>
                <w:rFonts w:hint="eastAsia"/>
                <w:b/>
                <w:bCs/>
                <w:lang w:val="en-US" w:eastAsia="zh-CN"/>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4" w:type="dxa"/>
            <w:vAlign w:val="center"/>
          </w:tcPr>
          <w:p>
            <w:pPr>
              <w:pStyle w:val="14"/>
              <w:numPr>
                <w:ilvl w:val="0"/>
                <w:numId w:val="0"/>
              </w:numPr>
              <w:jc w:val="center"/>
              <w:rPr>
                <w:rFonts w:hint="eastAsia"/>
                <w:lang w:val="en-US" w:eastAsia="zh-CN"/>
              </w:rPr>
            </w:pPr>
            <w:r>
              <w:rPr>
                <w:rFonts w:hint="eastAsia"/>
                <w:lang w:val="en-US" w:eastAsia="zh-CN"/>
              </w:rPr>
              <w:t>1</w:t>
            </w:r>
          </w:p>
        </w:tc>
        <w:tc>
          <w:tcPr>
            <w:tcW w:w="652" w:type="dxa"/>
            <w:vAlign w:val="center"/>
          </w:tcPr>
          <w:p>
            <w:pPr>
              <w:pStyle w:val="14"/>
              <w:numPr>
                <w:ilvl w:val="0"/>
                <w:numId w:val="0"/>
              </w:numPr>
              <w:jc w:val="center"/>
              <w:rPr>
                <w:rFonts w:hint="eastAsia" w:eastAsia="宋体"/>
                <w:lang w:val="en-US" w:eastAsia="zh-CN"/>
              </w:rPr>
            </w:pPr>
            <w:r>
              <w:rPr>
                <w:rFonts w:hint="eastAsia" w:eastAsia="宋体"/>
                <w:lang w:val="en-US" w:eastAsia="zh-CN"/>
              </w:rPr>
              <w:t>1</w:t>
            </w:r>
          </w:p>
        </w:tc>
        <w:tc>
          <w:tcPr>
            <w:tcW w:w="2207" w:type="dxa"/>
            <w:vAlign w:val="center"/>
          </w:tcPr>
          <w:p>
            <w:pPr>
              <w:pStyle w:val="14"/>
              <w:numPr>
                <w:ilvl w:val="0"/>
                <w:numId w:val="0"/>
              </w:numPr>
              <w:jc w:val="center"/>
              <w:rPr>
                <w:rFonts w:hint="eastAsia" w:eastAsia="宋体"/>
                <w:lang w:val="en-US" w:eastAsia="zh-CN"/>
              </w:rPr>
            </w:pPr>
            <w:r>
              <w:rPr>
                <w:rFonts w:hint="eastAsia"/>
                <w:lang w:val="en-US" w:eastAsia="zh-CN"/>
              </w:rPr>
              <w:t>飞利浦3.0T磁共振技术保</w:t>
            </w:r>
          </w:p>
        </w:tc>
        <w:tc>
          <w:tcPr>
            <w:tcW w:w="971" w:type="dxa"/>
            <w:gridSpan w:val="2"/>
            <w:vAlign w:val="center"/>
          </w:tcPr>
          <w:p>
            <w:pPr>
              <w:pStyle w:val="14"/>
              <w:numPr>
                <w:ilvl w:val="0"/>
                <w:numId w:val="0"/>
              </w:numPr>
              <w:jc w:val="center"/>
              <w:rPr>
                <w:rFonts w:hint="eastAsia" w:eastAsia="宋体"/>
                <w:lang w:val="en-US" w:eastAsia="zh-CN"/>
              </w:rPr>
            </w:pPr>
            <w:r>
              <w:rPr>
                <w:rFonts w:hint="eastAsia"/>
                <w:lang w:val="en-US" w:eastAsia="zh-CN"/>
              </w:rPr>
              <w:t>年</w:t>
            </w:r>
          </w:p>
        </w:tc>
        <w:tc>
          <w:tcPr>
            <w:tcW w:w="725" w:type="dxa"/>
            <w:vAlign w:val="center"/>
          </w:tcPr>
          <w:p>
            <w:pPr>
              <w:pStyle w:val="14"/>
              <w:numPr>
                <w:ilvl w:val="0"/>
                <w:numId w:val="0"/>
              </w:numPr>
              <w:jc w:val="center"/>
              <w:rPr>
                <w:rFonts w:hint="default" w:eastAsia="宋体"/>
                <w:lang w:val="en-US" w:eastAsia="zh-CN"/>
              </w:rPr>
            </w:pPr>
            <w:r>
              <w:rPr>
                <w:rFonts w:hint="eastAsia"/>
                <w:lang w:val="en-US" w:eastAsia="zh-CN"/>
              </w:rPr>
              <w:t>1</w:t>
            </w:r>
          </w:p>
        </w:tc>
        <w:tc>
          <w:tcPr>
            <w:tcW w:w="1377" w:type="dxa"/>
            <w:vAlign w:val="center"/>
          </w:tcPr>
          <w:p>
            <w:pPr>
              <w:pStyle w:val="14"/>
              <w:numPr>
                <w:ilvl w:val="0"/>
                <w:numId w:val="0"/>
              </w:numPr>
              <w:jc w:val="center"/>
              <w:rPr>
                <w:rFonts w:hint="eastAsia" w:eastAsia="宋体"/>
                <w:lang w:val="en-US" w:eastAsia="zh-CN"/>
              </w:rPr>
            </w:pPr>
            <w:r>
              <w:rPr>
                <w:rFonts w:hint="eastAsia" w:ascii="宋体" w:hAnsi="宋体" w:cs="宋体"/>
                <w:color w:val="auto"/>
                <w:szCs w:val="21"/>
                <w:highlight w:val="none"/>
                <w:shd w:val="clear" w:color="auto" w:fill="FFFFFF"/>
                <w:lang w:val="en-US" w:eastAsia="zh-CN"/>
              </w:rPr>
              <w:t>49.00万元</w:t>
            </w:r>
          </w:p>
        </w:tc>
        <w:tc>
          <w:tcPr>
            <w:tcW w:w="923" w:type="dxa"/>
            <w:vAlign w:val="center"/>
          </w:tcPr>
          <w:p>
            <w:pPr>
              <w:pStyle w:val="14"/>
              <w:numPr>
                <w:ilvl w:val="0"/>
                <w:numId w:val="0"/>
              </w:numPr>
              <w:jc w:val="center"/>
              <w:rPr>
                <w:rFonts w:hint="eastAsia" w:eastAsia="宋体"/>
                <w:lang w:val="en-US" w:eastAsia="zh-CN"/>
              </w:rPr>
            </w:pPr>
            <w:r>
              <w:rPr>
                <w:rFonts w:hint="eastAsia" w:eastAsia="宋体"/>
                <w:lang w:val="en-US" w:eastAsia="zh-CN"/>
              </w:rPr>
              <w:t>自筹</w:t>
            </w: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合计</w:t>
            </w:r>
          </w:p>
        </w:tc>
        <w:tc>
          <w:tcPr>
            <w:tcW w:w="2212" w:type="dxa"/>
            <w:gridSpan w:val="2"/>
            <w:vAlign w:val="center"/>
          </w:tcPr>
          <w:p>
            <w:pPr>
              <w:pStyle w:val="14"/>
              <w:numPr>
                <w:ilvl w:val="0"/>
                <w:numId w:val="0"/>
              </w:numPr>
              <w:jc w:val="center"/>
              <w:rPr>
                <w:rFonts w:hint="eastAsia"/>
                <w:lang w:val="en-US" w:eastAsia="zh-CN"/>
              </w:rPr>
            </w:pPr>
          </w:p>
        </w:tc>
        <w:tc>
          <w:tcPr>
            <w:tcW w:w="966"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年</w:t>
            </w:r>
          </w:p>
        </w:tc>
        <w:tc>
          <w:tcPr>
            <w:tcW w:w="725"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lang w:val="en-US" w:eastAsia="zh-CN"/>
              </w:rPr>
              <w:t>1</w:t>
            </w:r>
          </w:p>
        </w:tc>
        <w:tc>
          <w:tcPr>
            <w:tcW w:w="1377" w:type="dxa"/>
            <w:vAlign w:val="center"/>
          </w:tcPr>
          <w:p>
            <w:pPr>
              <w:pStyle w:val="14"/>
              <w:numPr>
                <w:ilvl w:val="0"/>
                <w:numId w:val="0"/>
              </w:numPr>
              <w:ind w:left="0" w:leftChars="0" w:firstLine="0" w:firstLineChars="0"/>
              <w:jc w:val="center"/>
              <w:rPr>
                <w:rFonts w:hint="eastAsia" w:ascii="Arial" w:hAnsi="Arial" w:eastAsia="宋体" w:cs="Times New Roman"/>
                <w:kern w:val="2"/>
                <w:sz w:val="21"/>
                <w:szCs w:val="24"/>
                <w:lang w:val="en-US" w:eastAsia="zh-CN" w:bidi="ar-SA"/>
              </w:rPr>
            </w:pPr>
            <w:r>
              <w:rPr>
                <w:rFonts w:hint="eastAsia" w:ascii="宋体" w:hAnsi="宋体" w:cs="宋体"/>
                <w:color w:val="auto"/>
                <w:szCs w:val="21"/>
                <w:highlight w:val="none"/>
                <w:shd w:val="clear" w:color="auto" w:fill="FFFFFF"/>
                <w:lang w:val="en-US" w:eastAsia="zh-CN"/>
              </w:rPr>
              <w:t>49.00万元</w:t>
            </w:r>
          </w:p>
        </w:tc>
        <w:tc>
          <w:tcPr>
            <w:tcW w:w="923" w:type="dxa"/>
            <w:vAlign w:val="center"/>
          </w:tcPr>
          <w:p>
            <w:pPr>
              <w:pStyle w:val="14"/>
              <w:numPr>
                <w:ilvl w:val="0"/>
                <w:numId w:val="0"/>
              </w:numPr>
              <w:jc w:val="center"/>
              <w:rPr>
                <w:rFonts w:hint="eastAsia"/>
                <w:lang w:val="en-US" w:eastAsia="zh-CN"/>
              </w:rPr>
            </w:pPr>
          </w:p>
        </w:tc>
        <w:tc>
          <w:tcPr>
            <w:tcW w:w="1202" w:type="dxa"/>
            <w:vAlign w:val="center"/>
          </w:tcPr>
          <w:p>
            <w:pPr>
              <w:pStyle w:val="14"/>
              <w:numPr>
                <w:ilvl w:val="0"/>
                <w:numId w:val="0"/>
              </w:numPr>
              <w:jc w:val="cente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76" w:type="dxa"/>
            <w:gridSpan w:val="2"/>
            <w:vAlign w:val="center"/>
          </w:tcPr>
          <w:p>
            <w:pPr>
              <w:pStyle w:val="14"/>
              <w:numPr>
                <w:ilvl w:val="0"/>
                <w:numId w:val="0"/>
              </w:numPr>
              <w:jc w:val="center"/>
              <w:rPr>
                <w:rFonts w:hint="eastAsia"/>
                <w:lang w:val="en-US" w:eastAsia="zh-CN"/>
              </w:rPr>
            </w:pPr>
            <w:r>
              <w:rPr>
                <w:rFonts w:hint="eastAsia"/>
                <w:lang w:val="en-US" w:eastAsia="zh-CN"/>
              </w:rPr>
              <w:t>备注</w:t>
            </w:r>
          </w:p>
        </w:tc>
        <w:tc>
          <w:tcPr>
            <w:tcW w:w="7405" w:type="dxa"/>
            <w:gridSpan w:val="7"/>
            <w:vAlign w:val="center"/>
          </w:tcPr>
          <w:p>
            <w:pPr>
              <w:pStyle w:val="14"/>
              <w:tabs>
                <w:tab w:val="left" w:pos="568"/>
              </w:tabs>
              <w:spacing w:line="240" w:lineRule="auto"/>
              <w:ind w:firstLine="420" w:firstLineChars="200"/>
              <w:jc w:val="center"/>
              <w:rPr>
                <w:rFonts w:hint="default"/>
                <w:lang w:val="en-US" w:eastAsia="zh-CN"/>
              </w:rPr>
            </w:pPr>
            <w:r>
              <w:rPr>
                <w:rFonts w:hint="eastAsia"/>
                <w:lang w:val="en-US" w:eastAsia="zh-CN"/>
              </w:rPr>
              <w:t>1台</w:t>
            </w:r>
          </w:p>
        </w:tc>
      </w:tr>
    </w:tbl>
    <w:p>
      <w:pPr>
        <w:pStyle w:val="14"/>
        <w:tabs>
          <w:tab w:val="left" w:pos="568"/>
        </w:tabs>
        <w:spacing w:line="240" w:lineRule="auto"/>
        <w:ind w:firstLine="534" w:firstLineChars="200"/>
        <w:jc w:val="center"/>
        <w:rPr>
          <w:rFonts w:hint="eastAsia" w:ascii="宋体" w:hAnsi="宋体" w:eastAsia="宋体" w:cs="宋体"/>
          <w:b/>
          <w:bCs/>
          <w:spacing w:val="28"/>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2" w:firstLineChars="200"/>
        <w:jc w:val="both"/>
        <w:textAlignment w:val="auto"/>
        <w:rPr>
          <w:rFonts w:hint="eastAsia" w:ascii="宋体" w:hAnsi="宋体" w:cs="宋体"/>
          <w:b/>
          <w:bCs/>
          <w:kern w:val="2"/>
          <w:sz w:val="21"/>
          <w:szCs w:val="24"/>
          <w:lang w:val="en-US" w:eastAsia="zh-CN" w:bidi="ar-SA"/>
        </w:rPr>
      </w:pPr>
      <w:r>
        <w:rPr>
          <w:rFonts w:hint="eastAsia" w:ascii="宋体" w:hAnsi="宋体" w:cs="宋体"/>
          <w:b/>
          <w:bCs/>
          <w:kern w:val="2"/>
          <w:sz w:val="21"/>
          <w:szCs w:val="24"/>
          <w:lang w:val="en-US" w:eastAsia="zh-CN" w:bidi="ar-SA"/>
        </w:rPr>
        <w:t>三、技术要求：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维保内容为飞利浦3.0T磁共振技术保，并包含（除磁体、线圈、制冷系统）两个配件的更换及一次线圈的维修，保修期内每年至少提供4次设备维护保养，包含但不限于如下项目：设备清洁、性能测试及校准、必要的电气环境检测等，使之保持原厂QC标准或国家质量监督部门的标准，并提供保养清单。</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2)</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每次维修保养更换配件时需通知科室及医学装备部，且保修期最后一个月需三方人员（投标人、科室、医学装备部）在场对设备进行全面保养，在此过程中发现的问题，不论大小，一律彻底修复。每次都要做好维修、保养记录，并留存影像资料，设备的性能指标需满足临床诊断治疗要求和设备使用的安全性要求，并由三方共同签字确认。</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3)为本医院配置具备维修资质的固定工程师不少于2人，本设备维修经验不少于2年，需提供证明材料（培训证书）和承诺函。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4)</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所换备件必须是全新合格的产品，并满足设备运行要求, 进口配件需提供商检及海关报关单等材料。因所换备件造成的设备故障及医院损失，由投标人全权负责。</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5)</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软硬件及工作站免费安全升级，并开放维修密码等。</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6)</w:t>
      </w:r>
      <w:r>
        <w:rPr>
          <w:rFonts w:hint="default" w:ascii="宋体" w:hAnsi="宋体" w:cs="宋体"/>
          <w:kern w:val="2"/>
          <w:sz w:val="21"/>
          <w:szCs w:val="24"/>
          <w:lang w:val="en-US" w:eastAsia="zh-CN" w:bidi="ar-SA"/>
        </w:rPr>
        <w:tab/>
      </w:r>
      <w:r>
        <w:rPr>
          <w:rFonts w:hint="default" w:ascii="宋体" w:hAnsi="宋体" w:cs="宋体"/>
          <w:kern w:val="2"/>
          <w:sz w:val="21"/>
          <w:szCs w:val="24"/>
          <w:lang w:val="en-US" w:eastAsia="zh-CN" w:bidi="ar-SA"/>
        </w:rPr>
        <w:t>提供24小时远程技术支持及临床应用支持，签署由招标人提供的信息系统数据安全保密承诺书。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7）更换维修备件需要院内工程师及科室主任在场拍照，更换维修备件超过三万元需要先招标后更换，特殊情况除外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8）如需更换备件，国内备件仓库有货的备件在2个工作日内送达医院，进口配件5个工作日送达；非标件和不可抗力除外。</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9）定期进行安全检查及质量保障，保证24h*365天维修热线连接；提供全国400热线服务电话。</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10）紧急人工和工程师现场紧急维修服务。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11）提供ISO9001和13485质量认证证书。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12）工程师需配备有专用工具，工程师的工具符合国家检测和校准的规定（提供相关校准证明）。</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13）  保修期最后一个月内更换的配件，中标公司应保证自更换之日起三个月内正常使用，如三个月内出现故障，由中标公司承担维修费用。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14）须有具备应用培训工程师且提供原厂认证的培训证书。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15） 对我院的维修工程师提供每年至少2人次的专业培训，并提供培训证明材料。</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jc w:val="both"/>
        <w:textAlignment w:val="auto"/>
        <w:rPr>
          <w:rFonts w:hint="default" w:ascii="宋体" w:hAnsi="宋体" w:cs="宋体"/>
          <w:kern w:val="2"/>
          <w:sz w:val="21"/>
          <w:szCs w:val="24"/>
          <w:lang w:val="en-US" w:eastAsia="zh-CN" w:bidi="ar-SA"/>
        </w:rPr>
      </w:pPr>
      <w:r>
        <w:rPr>
          <w:rFonts w:hint="default" w:ascii="宋体" w:hAnsi="宋体" w:cs="宋体"/>
          <w:kern w:val="2"/>
          <w:sz w:val="21"/>
          <w:szCs w:val="24"/>
          <w:lang w:val="en-US" w:eastAsia="zh-CN" w:bidi="ar-SA"/>
        </w:rPr>
        <w:t>16）每年制定临床使用人员的使用维护培训计划，按计划进行培训并提供记录。</w:t>
      </w:r>
    </w:p>
    <w:p>
      <w:pPr>
        <w:rPr>
          <w:rFonts w:hint="eastAsia"/>
          <w:b/>
          <w:bCs/>
          <w:color w:val="auto"/>
          <w:sz w:val="30"/>
          <w:szCs w:val="30"/>
          <w:highlight w:val="none"/>
        </w:rPr>
      </w:pPr>
    </w:p>
    <w:p>
      <w:pPr>
        <w:pStyle w:val="13"/>
        <w:keepNext w:val="0"/>
        <w:keepLines w:val="0"/>
        <w:pageBreakBefore w:val="0"/>
        <w:widowControl/>
        <w:kinsoku/>
        <w:wordWrap/>
        <w:overflowPunct/>
        <w:topLinePunct w:val="0"/>
        <w:autoSpaceDE/>
        <w:autoSpaceDN/>
        <w:bidi w:val="0"/>
        <w:adjustRightInd/>
        <w:snapToGrid w:val="0"/>
        <w:spacing w:beforeAutospacing="0" w:after="161" w:afterLines="50" w:afterAutospacing="0"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w:t>
            </w:r>
            <w:r>
              <w:rPr>
                <w:rFonts w:hint="eastAsia" w:cs="宋体"/>
                <w:sz w:val="21"/>
                <w:szCs w:val="21"/>
                <w:lang w:val="en-US" w:eastAsia="zh-CN"/>
              </w:rPr>
              <w:t>成交通知书</w:t>
            </w:r>
            <w:r>
              <w:rPr>
                <w:rFonts w:hint="eastAsia" w:ascii="宋体" w:hAnsi="宋体" w:eastAsia="宋体" w:cs="宋体"/>
                <w:sz w:val="21"/>
                <w:szCs w:val="21"/>
                <w:lang w:val="en-US" w:eastAsia="zh-CN"/>
              </w:rPr>
              <w:t>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cs="宋体"/>
                <w:color w:val="000000" w:themeColor="text1"/>
                <w:sz w:val="21"/>
                <w:szCs w:val="21"/>
                <w:lang w:val="en-US" w:eastAsia="zh-CN"/>
                <w14:textFill>
                  <w14:solidFill>
                    <w14:schemeClr w14:val="tx1"/>
                  </w14:solidFill>
                </w14:textFill>
              </w:rPr>
              <w:t>服务期限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cs="宋体"/>
                <w:kern w:val="2"/>
                <w:sz w:val="21"/>
                <w:szCs w:val="24"/>
                <w:lang w:val="en-US" w:eastAsia="zh-CN" w:bidi="ar-SA"/>
              </w:rPr>
            </w:pPr>
            <w:r>
              <w:rPr>
                <w:rFonts w:hint="eastAsia" w:cs="宋体"/>
                <w:kern w:val="2"/>
                <w:sz w:val="21"/>
                <w:szCs w:val="24"/>
                <w:lang w:val="en-US" w:eastAsia="zh-CN" w:bidi="ar-SA"/>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质量要求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符合国家现行标准要求</w:t>
            </w:r>
            <w:r>
              <w:rPr>
                <w:rFonts w:hint="eastAsia" w:cs="宋体"/>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服务安排</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周一至周日，7天24小时包括法定节假日</w:t>
            </w:r>
            <w:r>
              <w:rPr>
                <w:rFonts w:hint="eastAsia" w:cs="宋体"/>
                <w:color w:val="000000" w:themeColor="text1"/>
                <w:sz w:val="21"/>
                <w:szCs w:val="21"/>
                <w:lang w:val="en-US" w:eastAsia="zh-CN"/>
                <w14:textFill>
                  <w14:solidFill>
                    <w14:schemeClr w14:val="tx1"/>
                  </w14:solidFill>
                </w14:textFill>
              </w:rPr>
              <w:t>。</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维修响应时间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20分钟内电话响应，2小时内工程师到达现场，一般故障24小时内维修完毕。如需外地专家支持，4小时内响应，24小时内到达现场。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投标人保证我院保修的设备正常开机率大于95% （一年按365天计算），且单次维修不能超过1天，否则设备维修占用日期每增加一天，保修时间往后顺延七天。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sz w:val="21"/>
                <w:szCs w:val="21"/>
                <w:lang w:val="en-US" w:eastAsia="zh-CN"/>
              </w:rPr>
              <w:t>支付方式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spacing w:line="360" w:lineRule="auto"/>
              <w:ind w:left="0" w:leftChars="0"/>
              <w:jc w:val="left"/>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先服务后付款，服务六个月之后支付50%合同款，服务期满后支付余下50%合同款。</w:t>
            </w:r>
          </w:p>
        </w:tc>
      </w:tr>
    </w:tbl>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val="0"/>
        <w:spacing w:before="480" w:beforeLines="150" w:line="480" w:lineRule="auto"/>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2"/>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1"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pPr>
            <w:r>
              <w:rPr>
                <w:rFonts w:hint="eastAsia"/>
              </w:rPr>
              <w:t>不接受联合体投标，不允许转包和分包。</w:t>
            </w:r>
          </w:p>
          <w:p>
            <w:pPr>
              <w:widowControl/>
              <w:snapToGrid w:val="0"/>
              <w:spacing w:line="360" w:lineRule="auto"/>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2、授权</w:t>
            </w:r>
            <w:r>
              <w:rPr>
                <w:rFonts w:hint="eastAsia" w:cs="Times New Roman"/>
                <w:lang w:val="en-US" w:eastAsia="zh-CN"/>
              </w:rPr>
              <w:t>磋商小组</w:t>
            </w:r>
            <w:r>
              <w:rPr>
                <w:rFonts w:hint="eastAsia" w:ascii="Times New Roman" w:hAnsi="Times New Roman" w:eastAsia="宋体" w:cs="Times New Roman"/>
                <w:lang w:val="en-US" w:eastAsia="zh-CN"/>
              </w:rPr>
              <w:t>确定一名</w:t>
            </w:r>
            <w:r>
              <w:rPr>
                <w:rFonts w:hint="eastAsia" w:cs="Times New Roman"/>
                <w:lang w:val="en-US" w:eastAsia="zh-CN"/>
              </w:rPr>
              <w:t>成交人</w:t>
            </w:r>
            <w:r>
              <w:rPr>
                <w:rFonts w:hint="eastAsia" w:ascii="Times New Roman" w:hAnsi="Times New Roman" w:eastAsia="宋体" w:cs="Times New Roman"/>
                <w:lang w:val="en-US" w:eastAsia="zh-CN"/>
              </w:rPr>
              <w:t>并推荐</w:t>
            </w:r>
            <w:r>
              <w:rPr>
                <w:rFonts w:hint="eastAsia" w:cs="Times New Roman"/>
                <w:lang w:val="en-US" w:eastAsia="zh-CN"/>
              </w:rPr>
              <w:t>一</w:t>
            </w:r>
            <w:r>
              <w:rPr>
                <w:rFonts w:hint="eastAsia" w:ascii="Times New Roman" w:hAnsi="Times New Roman" w:eastAsia="宋体" w:cs="Times New Roman"/>
                <w:lang w:val="en-US" w:eastAsia="zh-CN"/>
              </w:rPr>
              <w:t>名</w:t>
            </w:r>
            <w:r>
              <w:rPr>
                <w:rFonts w:hint="eastAsia" w:cs="Times New Roman"/>
                <w:lang w:val="en-US" w:eastAsia="zh-CN"/>
              </w:rPr>
              <w:t>成交候选人</w:t>
            </w:r>
            <w:r>
              <w:rPr>
                <w:rFonts w:hint="eastAsia" w:ascii="Times New Roman" w:hAnsi="Times New Roman" w:eastAsia="宋体" w:cs="Times New Roman"/>
                <w:lang w:val="en-US" w:eastAsia="zh-CN"/>
              </w:rPr>
              <w:t>。</w:t>
            </w:r>
          </w:p>
          <w:p>
            <w:pPr>
              <w:widowControl/>
              <w:snapToGrid w:val="0"/>
              <w:spacing w:line="360" w:lineRule="auto"/>
              <w:rPr>
                <w:rFonts w:hint="default" w:eastAsia="宋体"/>
                <w:lang w:val="en-US" w:eastAsia="zh-CN"/>
              </w:rPr>
            </w:pPr>
            <w:r>
              <w:rPr>
                <w:rFonts w:hint="eastAsia" w:ascii="Times New Roman" w:hAnsi="Times New Roman" w:eastAsia="宋体" w:cs="Times New Roman"/>
                <w:lang w:val="en-US" w:eastAsia="zh-CN"/>
              </w:rPr>
              <w:t>3、供应商应根据采购文件的要求提供技术响应</w:t>
            </w:r>
            <w:r>
              <w:rPr>
                <w:rFonts w:hint="eastAsia" w:cs="Times New Roman"/>
                <w:lang w:val="en-US" w:eastAsia="zh-CN"/>
              </w:rPr>
              <w:t>部分</w:t>
            </w:r>
            <w:r>
              <w:rPr>
                <w:rFonts w:hint="eastAsia" w:ascii="Times New Roman" w:hAnsi="Times New Roman" w:eastAsia="宋体" w:cs="Times New Roman"/>
                <w:lang w:val="en-US" w:eastAsia="zh-CN"/>
              </w:rPr>
              <w:t>、商务响应</w:t>
            </w:r>
            <w:r>
              <w:rPr>
                <w:rFonts w:hint="eastAsia" w:cs="Times New Roman"/>
                <w:lang w:val="en-US" w:eastAsia="zh-CN"/>
              </w:rPr>
              <w:t>部分</w:t>
            </w:r>
            <w:r>
              <w:rPr>
                <w:rFonts w:hint="eastAsia" w:ascii="Times New Roman" w:hAnsi="Times New Roman" w:eastAsia="宋体" w:cs="Times New Roman"/>
                <w:lang w:val="en-US" w:eastAsia="zh-CN"/>
              </w:rPr>
              <w:t>等内容以对采购文件作出响应。</w:t>
            </w:r>
          </w:p>
        </w:tc>
      </w:tr>
    </w:tbl>
    <w:p>
      <w:pPr>
        <w:rPr>
          <w:color w:val="auto"/>
          <w:highlight w:val="none"/>
        </w:rPr>
      </w:pPr>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outlineLvl w:val="0"/>
        <w:rPr>
          <w:b/>
          <w:bCs/>
          <w:color w:val="auto"/>
          <w:sz w:val="32"/>
          <w:szCs w:val="32"/>
          <w:highlight w:val="none"/>
        </w:rPr>
      </w:pPr>
      <w:bookmarkStart w:id="35" w:name="_Toc16791"/>
      <w:r>
        <w:rPr>
          <w:rFonts w:hint="eastAsia"/>
          <w:b/>
          <w:bCs/>
          <w:color w:val="auto"/>
          <w:sz w:val="32"/>
          <w:szCs w:val="32"/>
          <w:highlight w:val="none"/>
        </w:rPr>
        <w:t xml:space="preserve">第三章  </w:t>
      </w:r>
      <w:r>
        <w:rPr>
          <w:rFonts w:hint="eastAsia"/>
          <w:b/>
          <w:bCs/>
          <w:color w:val="auto"/>
          <w:sz w:val="32"/>
          <w:szCs w:val="32"/>
          <w:highlight w:val="none"/>
          <w:lang w:eastAsia="zh-CN"/>
        </w:rPr>
        <w:t>供应商</w:t>
      </w:r>
      <w:r>
        <w:rPr>
          <w:rFonts w:hint="eastAsia"/>
          <w:b/>
          <w:bCs/>
          <w:color w:val="auto"/>
          <w:sz w:val="32"/>
          <w:szCs w:val="32"/>
          <w:highlight w:val="none"/>
        </w:rPr>
        <w:t>须知</w:t>
      </w:r>
      <w:bookmarkEnd w:id="35"/>
    </w:p>
    <w:p>
      <w:pPr>
        <w:snapToGrid w:val="0"/>
        <w:spacing w:beforeLines="50" w:line="360" w:lineRule="auto"/>
        <w:jc w:val="center"/>
        <w:outlineLvl w:val="1"/>
        <w:rPr>
          <w:rFonts w:ascii="宋体" w:hAnsi="宋体"/>
          <w:color w:val="auto"/>
          <w:sz w:val="28"/>
          <w:szCs w:val="28"/>
          <w:highlight w:val="none"/>
        </w:rPr>
      </w:pPr>
      <w:r>
        <w:rPr>
          <w:rFonts w:hint="eastAsia" w:ascii="宋体" w:hAnsi="宋体"/>
          <w:color w:val="auto"/>
          <w:sz w:val="28"/>
          <w:szCs w:val="28"/>
          <w:highlight w:val="none"/>
          <w:lang w:eastAsia="zh-CN"/>
        </w:rPr>
        <w:t>供应商</w:t>
      </w:r>
      <w:r>
        <w:rPr>
          <w:rFonts w:hint="eastAsia" w:ascii="宋体" w:hAnsi="宋体"/>
          <w:color w:val="auto"/>
          <w:sz w:val="28"/>
          <w:szCs w:val="28"/>
          <w:highlight w:val="none"/>
        </w:rPr>
        <w:t>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bookmarkStart w:id="36" w:name="_Toc30169"/>
            <w:r>
              <w:rPr>
                <w:rFonts w:hint="eastAsia"/>
                <w:color w:val="auto"/>
                <w:highlight w:val="none"/>
              </w:rPr>
              <w:t>1.1 项目名称：</w:t>
            </w:r>
            <w:r>
              <w:rPr>
                <w:rFonts w:hint="eastAsia" w:ascii="宋体" w:hAnsi="宋体" w:cs="宋体"/>
                <w:color w:val="auto"/>
                <w:szCs w:val="21"/>
                <w:highlight w:val="none"/>
                <w:shd w:val="clear" w:color="auto" w:fill="FFFFFF"/>
                <w:lang w:val="en-US" w:eastAsia="zh-CN"/>
              </w:rPr>
              <w:t>驻马店市中心医院飞利浦3.0T磁共振技术保项目</w:t>
            </w:r>
            <w:bookmarkEnd w:id="36"/>
          </w:p>
          <w:p>
            <w:pPr>
              <w:widowControl/>
              <w:snapToGrid w:val="0"/>
              <w:spacing w:line="440" w:lineRule="exact"/>
              <w:jc w:val="left"/>
              <w:outlineLvl w:val="0"/>
              <w:rPr>
                <w:rFonts w:hint="eastAsia"/>
                <w:color w:val="auto"/>
                <w:highlight w:val="none"/>
              </w:rPr>
            </w:pPr>
            <w:bookmarkStart w:id="37" w:name="_Toc23424"/>
            <w:r>
              <w:rPr>
                <w:rFonts w:hint="eastAsia"/>
                <w:color w:val="auto"/>
                <w:highlight w:val="none"/>
              </w:rPr>
              <w:t>1.2 采购人名称：驻马店市中心医院</w:t>
            </w:r>
            <w:bookmarkEnd w:id="37"/>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bookmarkStart w:id="38" w:name="_Toc3148"/>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bookmarkEnd w:id="38"/>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采购预算：</w:t>
            </w:r>
            <w:r>
              <w:rPr>
                <w:rFonts w:hint="eastAsia" w:ascii="宋体" w:hAnsi="宋体" w:cs="宋体"/>
                <w:color w:val="auto"/>
                <w:szCs w:val="21"/>
                <w:highlight w:val="none"/>
                <w:shd w:val="clear" w:color="auto" w:fill="FFFFFF"/>
                <w:lang w:val="en-US" w:eastAsia="zh-CN"/>
              </w:rPr>
              <w:t xml:space="preserve"> 49.00万元</w:t>
            </w:r>
            <w:r>
              <w:rPr>
                <w:rFonts w:hint="eastAsia" w:ascii="宋体" w:hAnsi="宋体" w:cs="宋体"/>
                <w:color w:val="auto"/>
                <w:kern w:val="0"/>
                <w:szCs w:val="21"/>
                <w:highlight w:val="none"/>
                <w:lang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kern w:val="0"/>
                <w:szCs w:val="21"/>
                <w:lang w:eastAsia="zh-CN"/>
              </w:rPr>
              <w:t>成交</w:t>
            </w:r>
            <w:r>
              <w:rPr>
                <w:rFonts w:hint="eastAsia" w:ascii="宋体" w:hAnsi="宋体" w:eastAsia="宋体" w:cs="宋体"/>
                <w:kern w:val="0"/>
                <w:szCs w:val="21"/>
              </w:rPr>
              <w:t>公告及</w:t>
            </w:r>
            <w:r>
              <w:rPr>
                <w:rFonts w:hint="eastAsia" w:ascii="宋体" w:hAnsi="宋体" w:cs="宋体"/>
                <w:kern w:val="0"/>
                <w:szCs w:val="21"/>
                <w:lang w:eastAsia="zh-CN"/>
              </w:rPr>
              <w:t>成交</w:t>
            </w:r>
            <w:r>
              <w:rPr>
                <w:rFonts w:hint="eastAsia" w:ascii="宋体" w:hAnsi="宋体" w:eastAsia="宋体" w:cs="宋体"/>
                <w:kern w:val="0"/>
                <w:szCs w:val="21"/>
              </w:rPr>
              <w:t>通知书：由采购人授权磋商小组确定一名成交人并推荐一名成交候选人。评审结束后在《驻马店市中心医院》官网上发布成交公告，公示期结束后向成交人发出成交通知书。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w:t>
            </w:r>
            <w:r>
              <w:rPr>
                <w:rFonts w:hint="eastAsia" w:ascii="宋体" w:hAnsi="宋体" w:cs="宋体"/>
                <w:color w:val="auto"/>
                <w:kern w:val="0"/>
                <w:szCs w:val="21"/>
                <w:highlight w:val="none"/>
                <w:lang w:val="en-US" w:eastAsia="zh-CN"/>
              </w:rPr>
              <w:t>30日</w:t>
            </w:r>
            <w:r>
              <w:rPr>
                <w:rFonts w:hint="eastAsia" w:ascii="宋体" w:hAnsi="宋体" w:cs="宋体"/>
                <w:color w:val="auto"/>
                <w:kern w:val="0"/>
                <w:szCs w:val="21"/>
                <w:highlight w:val="none"/>
              </w:rPr>
              <w:t>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9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kern w:val="0"/>
                <w:szCs w:val="21"/>
                <w:lang w:val="en-US" w:eastAsia="zh-CN"/>
              </w:rPr>
              <w:t>医院纪检</w:t>
            </w:r>
            <w:r>
              <w:rPr>
                <w:rFonts w:hint="eastAsia" w:ascii="宋体" w:hAnsi="宋体" w:cs="宋体"/>
                <w:color w:val="auto"/>
                <w:kern w:val="0"/>
                <w:szCs w:val="21"/>
                <w:highlight w:val="none"/>
              </w:rPr>
              <w:t>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outlineLvl w:val="1"/>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eastAsia="宋体" w:cs="宋体"/>
          <w:color w:val="000000" w:themeColor="text1"/>
          <w:kern w:val="0"/>
          <w:szCs w:val="21"/>
          <w14:textFill>
            <w14:solidFill>
              <w14:schemeClr w14:val="tx1"/>
            </w14:solidFill>
          </w14:textFill>
        </w:rPr>
        <w:t>各级国家机关、事业单位、团体组织</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代表”系指代表</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w:t>
      </w:r>
      <w:r>
        <w:rPr>
          <w:rFonts w:hint="eastAsia" w:ascii="宋体" w:hAnsi="宋体" w:cs="宋体"/>
          <w:color w:val="000000" w:themeColor="text1"/>
          <w:kern w:val="0"/>
          <w:szCs w:val="21"/>
          <w:highlight w:val="none"/>
          <w:lang w:eastAsia="zh-CN"/>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3.采购预算：</w:t>
      </w:r>
      <w:r>
        <w:rPr>
          <w:rFonts w:hint="eastAsia" w:ascii="宋体" w:hAnsi="宋体" w:cs="宋体"/>
          <w:b/>
          <w:bCs/>
          <w:color w:val="auto"/>
          <w:kern w:val="0"/>
          <w:szCs w:val="21"/>
          <w:highlight w:val="none"/>
          <w:lang w:val="en-US" w:eastAsia="zh-CN"/>
        </w:rPr>
        <w:t>49.00万元</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val="en-US" w:eastAsia="zh-CN"/>
        </w:rPr>
        <w:t>49.00万元</w:t>
      </w:r>
      <w:r>
        <w:rPr>
          <w:rFonts w:hint="eastAsia" w:ascii="宋体" w:hAnsi="宋体" w:cs="宋体"/>
          <w:b/>
          <w:bCs/>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4.1 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4.2 </w:t>
      </w:r>
      <w:r>
        <w:rPr>
          <w:rFonts w:hint="eastAsia" w:ascii="宋体" w:hAnsi="宋体" w:eastAsia="宋体" w:cs="宋体"/>
        </w:rPr>
        <w:t>供应商应提供2022年度经审计的财务报告或者其基本开户银行出具的资信证明；采购活动近三个月或上个季度任意一个月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eastAsia="宋体" w:cs="宋体"/>
          <w:color w:val="auto"/>
          <w:lang w:val="en-US" w:eastAsia="zh-CN"/>
        </w:rPr>
        <w:t>；</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4.3 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4.4 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000000" w:themeColor="text1"/>
          <w:kern w:val="2"/>
          <w:sz w:val="21"/>
          <w:szCs w:val="24"/>
          <w:lang w:val="en-US" w:eastAsia="zh-CN" w:bidi="ar-SA"/>
          <w14:textFill>
            <w14:solidFill>
              <w14:schemeClr w14:val="tx1"/>
            </w14:solidFill>
          </w14:textFill>
        </w:rPr>
      </w:pPr>
      <w:r>
        <w:rPr>
          <w:rFonts w:hint="eastAsia" w:ascii="宋体" w:hAnsi="宋体" w:eastAsia="宋体" w:cs="宋体"/>
          <w:color w:val="000000" w:themeColor="text1"/>
          <w:kern w:val="2"/>
          <w:sz w:val="21"/>
          <w:szCs w:val="24"/>
          <w:lang w:val="en-US" w:eastAsia="zh-CN" w:bidi="ar-SA"/>
          <w14:textFill>
            <w14:solidFill>
              <w14:schemeClr w14:val="tx1"/>
            </w14:solidFill>
          </w14:textFill>
        </w:rPr>
        <w:t>4.5 特定资格要求：供应商须具有医疗器械经营许可证，是在中华人民共和国境内注册的设备原制造厂商或原制造厂商授权的单位或具备相关设备维修能力的单位（提供证明文件）；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4.</w:t>
      </w:r>
      <w:r>
        <w:rPr>
          <w:rFonts w:hint="eastAsia" w:ascii="宋体" w:hAnsi="宋体" w:cs="宋体"/>
          <w:color w:val="auto"/>
          <w:lang w:val="en-US" w:eastAsia="zh-CN"/>
        </w:rPr>
        <w:t>6</w:t>
      </w:r>
      <w:r>
        <w:rPr>
          <w:rFonts w:hint="eastAsia" w:ascii="宋体" w:hAnsi="宋体" w:eastAsia="宋体" w:cs="宋体"/>
          <w:color w:val="auto"/>
          <w:lang w:val="en-US" w:eastAsia="zh-CN"/>
        </w:rPr>
        <w:t xml:space="preserve"> </w:t>
      </w:r>
      <w:r>
        <w:rPr>
          <w:rFonts w:hint="eastAsia" w:ascii="宋体" w:hAnsi="宋体" w:cs="宋体"/>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9.1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代表只能接受一个</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或者其法定代表人、董事、监事、高级管理人员因经营活动中的违法行为受到行政处罚，但警告和罚款额在人民币3万元以下的行政处罚除外；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w:t>
      </w:r>
      <w:r>
        <w:rPr>
          <w:rFonts w:hint="eastAsia" w:ascii="宋体" w:hAnsi="宋体" w:cs="宋体"/>
          <w:b/>
          <w:bCs/>
          <w:color w:val="auto"/>
          <w:kern w:val="0"/>
          <w:szCs w:val="21"/>
          <w:highlight w:val="none"/>
          <w:lang w:eastAsia="zh-CN"/>
        </w:rPr>
        <w:t>供应商</w:t>
      </w:r>
      <w:r>
        <w:rPr>
          <w:rFonts w:hint="eastAsia" w:ascii="宋体" w:hAnsi="宋体" w:cs="宋体"/>
          <w:b/>
          <w:bCs/>
          <w:color w:val="auto"/>
          <w:kern w:val="0"/>
          <w:szCs w:val="21"/>
          <w:highlight w:val="none"/>
        </w:rPr>
        <w:t>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通知所有潜在供应商</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资格要求、技术要求、商务要求和投标文件格式中对投标的要求），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14.2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公章。必要时</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报价明细表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1"/>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w:t>
      </w:r>
      <w:r>
        <w:rPr>
          <w:rFonts w:hint="eastAsia"/>
          <w:color w:val="auto"/>
          <w:sz w:val="21"/>
          <w:szCs w:val="21"/>
          <w:highlight w:val="none"/>
          <w:lang w:eastAsia="zh-CN"/>
        </w:rPr>
        <w:t>供应商</w:t>
      </w:r>
      <w:r>
        <w:rPr>
          <w:rFonts w:hint="eastAsia"/>
          <w:color w:val="auto"/>
          <w:sz w:val="21"/>
          <w:szCs w:val="21"/>
          <w:highlight w:val="none"/>
        </w:rPr>
        <w:t>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须知前附表</w:t>
      </w:r>
      <w:r>
        <w:rPr>
          <w:rFonts w:hint="eastAsia" w:ascii="宋体" w:hAnsi="宋体" w:cs="宋体"/>
          <w:color w:val="auto"/>
          <w:kern w:val="0"/>
          <w:szCs w:val="21"/>
          <w:highlight w:val="none"/>
        </w:rPr>
        <w:t>第16项所规定的期限内保持有效。有效期不足将导致其投标文件被拒绝。</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同意延长有效期，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可以拒绝上述要求。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答复不明确或者逾期未答复的，均视为拒绝上述要求。对于接受该要求的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lang w:eastAsia="zh-CN"/>
        </w:rPr>
        <w:t>供应商</w:t>
      </w:r>
      <w:r>
        <w:rPr>
          <w:rFonts w:hint="eastAsia" w:ascii="宋体" w:hAnsi="宋体" w:cs="宋体"/>
          <w:color w:val="auto"/>
          <w:spacing w:val="10"/>
          <w:kern w:val="0"/>
          <w:szCs w:val="21"/>
          <w:highlight w:val="none"/>
        </w:rPr>
        <w:t>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w:t>
      </w:r>
      <w:r>
        <w:rPr>
          <w:rFonts w:hint="eastAsia" w:ascii="宋体" w:hAnsi="宋体" w:cs="宋体"/>
          <w:color w:val="000000" w:themeColor="text1"/>
          <w:kern w:val="0"/>
          <w:szCs w:val="21"/>
          <w:highlight w:val="none"/>
          <w:lang w:val="en-US" w:eastAsia="zh-CN"/>
          <w14:textFill>
            <w14:solidFill>
              <w14:schemeClr w14:val="tx1"/>
            </w14:solidFill>
          </w14:textFill>
        </w:rPr>
        <w:t>服务期限</w:t>
      </w:r>
      <w:r>
        <w:rPr>
          <w:rFonts w:hint="eastAsia" w:ascii="宋体" w:hAnsi="宋体" w:eastAsia="宋体" w:cs="宋体"/>
          <w:color w:val="000000" w:themeColor="text1"/>
          <w:kern w:val="0"/>
          <w:szCs w:val="21"/>
          <w:highlight w:val="none"/>
          <w14:textFill>
            <w14:solidFill>
              <w14:schemeClr w14:val="tx1"/>
            </w14:solidFill>
          </w14:textFill>
        </w:rPr>
        <w:t>、投标有效期、</w:t>
      </w:r>
      <w:r>
        <w:rPr>
          <w:rFonts w:hint="eastAsia" w:ascii="宋体" w:hAnsi="宋体" w:cs="宋体"/>
          <w:color w:val="000000" w:themeColor="text1"/>
          <w:kern w:val="0"/>
          <w:szCs w:val="21"/>
          <w:highlight w:val="none"/>
          <w:lang w:val="en-US" w:eastAsia="zh-CN"/>
          <w14:textFill>
            <w14:solidFill>
              <w14:schemeClr w14:val="tx1"/>
            </w14:solidFill>
          </w14:textFill>
        </w:rPr>
        <w:t>质量</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的法定代表人盖章或盖单位公章；投标文件应尽量避免涂改、行间插字或删除，如果出现上述情况，改动之处应加盖单位公章或由</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的法定代表人盖章确认。签字或盖章的具体要求见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w:t>
      </w:r>
      <w:r>
        <w:rPr>
          <w:rFonts w:hint="eastAsia" w:ascii="宋体" w:hAnsi="宋体" w:cs="宋体"/>
          <w:color w:val="auto"/>
          <w:kern w:val="0"/>
          <w:szCs w:val="21"/>
          <w:highlight w:val="none"/>
          <w:lang w:eastAsia="zh-CN"/>
        </w:rPr>
        <w:t>供应商</w:t>
      </w:r>
      <w:r>
        <w:rPr>
          <w:rFonts w:hint="eastAsia" w:ascii="宋体" w:hAnsi="宋体" w:eastAsia="宋体" w:cs="宋体"/>
          <w:color w:val="auto"/>
          <w:kern w:val="0"/>
          <w:szCs w:val="21"/>
          <w:highlight w:val="none"/>
        </w:rPr>
        <w:t>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kinsoku/>
        <w:wordWrap/>
        <w:overflowPunct/>
        <w:topLinePunct w:val="0"/>
        <w:autoSpaceDE/>
        <w:autoSpaceDN/>
        <w:bidi w:val="0"/>
        <w:adjustRightInd/>
        <w:spacing w:line="360" w:lineRule="auto"/>
        <w:ind w:firstLine="424" w:firstLineChars="202"/>
        <w:textAlignment w:val="auto"/>
        <w:rPr>
          <w:rFonts w:ascii="宋体" w:hAnsi="宋体" w:cs="宋体"/>
          <w:color w:val="auto"/>
          <w:kern w:val="0"/>
          <w:szCs w:val="21"/>
          <w:highlight w:val="none"/>
        </w:rPr>
      </w:pPr>
      <w:r>
        <w:rPr>
          <w:rFonts w:hint="eastAsia" w:ascii="宋体" w:hAnsi="宋体" w:cs="宋体"/>
          <w:color w:val="auto"/>
          <w:kern w:val="0"/>
          <w:szCs w:val="21"/>
          <w:highlight w:val="none"/>
        </w:rPr>
        <w:t>21.1</w:t>
      </w:r>
      <w:r>
        <w:rPr>
          <w:color w:val="auto"/>
          <w:highlight w:val="none"/>
        </w:rPr>
        <w:t>响应文件应密封包装，并在封套的封口处加盖供应商单位章或由供应商的法定代表人（单位负责人）或其授权的代理人签字。</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w:t>
      </w:r>
      <w:r>
        <w:rPr>
          <w:rFonts w:hint="eastAsia"/>
          <w:highlight w:val="none"/>
          <w:lang w:val="en-US" w:eastAsia="zh-CN"/>
        </w:rPr>
        <w:t>2</w:t>
      </w:r>
      <w:r>
        <w:rPr>
          <w:rFonts w:hint="eastAsia"/>
          <w:highlight w:val="none"/>
          <w:lang w:eastAsia="zh-CN"/>
        </w:rPr>
        <w:t xml:space="preserve"> 未按本章第2</w:t>
      </w:r>
      <w:r>
        <w:rPr>
          <w:rFonts w:hint="eastAsia"/>
          <w:highlight w:val="none"/>
          <w:lang w:val="en-US" w:eastAsia="zh-CN"/>
        </w:rPr>
        <w:t>1</w:t>
      </w:r>
      <w:r>
        <w:rPr>
          <w:rFonts w:hint="eastAsia"/>
          <w:highlight w:val="none"/>
          <w:lang w:eastAsia="zh-CN"/>
        </w:rPr>
        <w:t>.1项要求密封的投标文件，采购人不予受理。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递交投标文件的地点：见</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须知前附表另有规定外，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23.1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 xml:space="preserve">23.2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在投标截止期后不得修改、撤回投标文件。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w:t>
      </w:r>
      <w:r>
        <w:rPr>
          <w:rFonts w:hint="eastAsia" w:ascii="宋体" w:hAnsi="宋体" w:cs="宋体"/>
          <w:b/>
          <w:bCs/>
          <w:color w:val="auto"/>
          <w:kern w:val="0"/>
          <w:szCs w:val="21"/>
          <w:highlight w:val="none"/>
          <w:lang w:eastAsia="zh-CN"/>
        </w:rPr>
        <w:t>磋商小组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.1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成员要依法独立评审，并对评审意见承担个人责任。</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w:t>
      </w:r>
      <w:r>
        <w:rPr>
          <w:rFonts w:hint="eastAsia" w:ascii="宋体" w:hAnsi="宋体" w:cs="宋体"/>
          <w:color w:val="auto"/>
          <w:szCs w:val="21"/>
          <w:highlight w:val="none"/>
          <w:lang w:eastAsia="zh-CN"/>
        </w:rPr>
        <w:t>磋商小组</w:t>
      </w:r>
      <w:r>
        <w:rPr>
          <w:rFonts w:hint="eastAsia" w:ascii="宋体" w:hAnsi="宋体" w:cs="宋体"/>
          <w:color w:val="auto"/>
          <w:szCs w:val="21"/>
          <w:highlight w:val="none"/>
        </w:rPr>
        <w:t>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8"/>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确认后产生约束力，</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w:t>
      </w:r>
      <w:r>
        <w:rPr>
          <w:rFonts w:hint="eastAsia" w:ascii="宋体" w:hAnsi="宋体"/>
          <w:color w:val="auto"/>
          <w:szCs w:val="21"/>
          <w:highlight w:val="none"/>
          <w:lang w:eastAsia="zh-CN"/>
        </w:rPr>
        <w:t>供应商</w:t>
      </w:r>
      <w:r>
        <w:rPr>
          <w:rFonts w:hint="eastAsia" w:ascii="宋体" w:hAnsi="宋体"/>
          <w:color w:val="auto"/>
          <w:szCs w:val="21"/>
          <w:highlight w:val="none"/>
        </w:rPr>
        <w:t>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w:t>
      </w:r>
      <w:r>
        <w:rPr>
          <w:rFonts w:hint="eastAsia" w:ascii="宋体" w:hAnsi="宋体"/>
          <w:color w:val="auto"/>
          <w:szCs w:val="21"/>
          <w:highlight w:val="none"/>
          <w:lang w:eastAsia="zh-CN"/>
        </w:rPr>
        <w:t>供应商</w:t>
      </w:r>
      <w:r>
        <w:rPr>
          <w:rFonts w:hint="eastAsia" w:ascii="宋体" w:hAnsi="宋体"/>
          <w:color w:val="auto"/>
          <w:szCs w:val="21"/>
          <w:highlight w:val="none"/>
        </w:rPr>
        <w:t>应提交的证明文件所述的资格标准对</w:t>
      </w:r>
      <w:r>
        <w:rPr>
          <w:rFonts w:hint="eastAsia" w:ascii="宋体" w:hAnsi="宋体"/>
          <w:color w:val="auto"/>
          <w:szCs w:val="21"/>
          <w:highlight w:val="none"/>
          <w:lang w:eastAsia="zh-CN"/>
        </w:rPr>
        <w:t>供应商</w:t>
      </w:r>
      <w:r>
        <w:rPr>
          <w:rFonts w:hint="eastAsia" w:ascii="宋体" w:hAnsi="宋体"/>
          <w:color w:val="auto"/>
          <w:szCs w:val="21"/>
          <w:highlight w:val="none"/>
        </w:rPr>
        <w:t>进行资格审查,以确定其是否具备投标资格。如果</w:t>
      </w:r>
      <w:r>
        <w:rPr>
          <w:rFonts w:hint="eastAsia" w:ascii="宋体" w:hAnsi="宋体"/>
          <w:color w:val="auto"/>
          <w:szCs w:val="21"/>
          <w:highlight w:val="none"/>
          <w:lang w:eastAsia="zh-CN"/>
        </w:rPr>
        <w:t>供应商</w:t>
      </w:r>
      <w:r>
        <w:rPr>
          <w:rFonts w:hint="eastAsia" w:ascii="宋体" w:hAnsi="宋体"/>
          <w:color w:val="auto"/>
          <w:szCs w:val="21"/>
          <w:highlight w:val="none"/>
        </w:rPr>
        <w:t>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应在规定的时限内提供。</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w:t>
      </w:r>
      <w:r>
        <w:rPr>
          <w:rFonts w:hint="eastAsia" w:ascii="宋体" w:hAnsi="宋体" w:cs="Lucida Sans Unicode"/>
          <w:color w:val="auto"/>
          <w:szCs w:val="21"/>
          <w:highlight w:val="none"/>
          <w:lang w:eastAsia="zh-CN"/>
        </w:rPr>
        <w:t>供应商</w:t>
      </w:r>
      <w:r>
        <w:rPr>
          <w:rFonts w:hint="eastAsia" w:ascii="宋体" w:hAnsi="宋体" w:cs="Lucida Sans Unicode"/>
          <w:color w:val="auto"/>
          <w:szCs w:val="21"/>
          <w:highlight w:val="none"/>
        </w:rPr>
        <w:t>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eastAsia="zh-CN"/>
        </w:rPr>
        <w:t>供应商</w:t>
      </w:r>
      <w:r>
        <w:rPr>
          <w:rFonts w:hint="eastAsia" w:ascii="宋体" w:hAnsi="宋体"/>
          <w:color w:val="auto"/>
          <w:szCs w:val="21"/>
          <w:highlight w:val="none"/>
        </w:rPr>
        <w:t>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合同履行期限</w:t>
      </w:r>
      <w:r>
        <w:rPr>
          <w:rFonts w:hint="eastAsia" w:ascii="宋体" w:hAnsi="宋体"/>
          <w:color w:val="auto"/>
          <w:szCs w:val="21"/>
          <w:highlight w:val="none"/>
        </w:rPr>
        <w:t>、</w:t>
      </w:r>
      <w:r>
        <w:rPr>
          <w:rFonts w:hint="eastAsia" w:ascii="宋体" w:hAnsi="宋体"/>
          <w:color w:val="auto"/>
          <w:szCs w:val="21"/>
          <w:highlight w:val="none"/>
          <w:lang w:eastAsia="zh-CN"/>
        </w:rPr>
        <w:t>质量</w:t>
      </w:r>
      <w:r>
        <w:rPr>
          <w:rFonts w:hint="eastAsia" w:ascii="宋体" w:hAnsi="宋体"/>
          <w:color w:val="auto"/>
          <w:szCs w:val="21"/>
          <w:highlight w:val="none"/>
        </w:rPr>
        <w:t>等</w:t>
      </w:r>
      <w:r>
        <w:rPr>
          <w:rFonts w:hint="eastAsia" w:ascii="宋体" w:hAnsi="宋体"/>
          <w:color w:val="000000" w:themeColor="text1"/>
          <w:szCs w:val="21"/>
          <w:highlight w:val="none"/>
          <w14:textFill>
            <w14:solidFill>
              <w14:schemeClr w14:val="tx1"/>
            </w14:solidFill>
          </w14:textFill>
        </w:rPr>
        <w:t>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发现</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有下列情形之一的，视为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 xml:space="preserve">.5.9 </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可以书面形式要求</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作出必要的澄清。</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的澄清应当在</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规定的时间内以书面形式作出，由其</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代表签字。但澄清事项不得超出投标文件的范围，不得实质性改变投标文件的内容，不得通过澄清等方式对</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实行差别对待。</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不得接受</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 xml:space="preserve">.1 </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8"/>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认为</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的报价明显低于其他通过符合性审查</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的报价，有可能影响产品质量或者不能诚信履约的，应当要求其在评标现场合理的时间内提供书面说明，必要时提交相关证明材料；</w:t>
      </w:r>
      <w:r>
        <w:rPr>
          <w:rFonts w:hint="eastAsia" w:ascii="宋体" w:hAnsi="宋体" w:cs="宋体"/>
          <w:color w:val="auto"/>
          <w:sz w:val="21"/>
          <w:szCs w:val="21"/>
          <w:highlight w:val="none"/>
          <w:lang w:eastAsia="zh-CN"/>
        </w:rPr>
        <w:t>供应商</w:t>
      </w:r>
      <w:r>
        <w:rPr>
          <w:rFonts w:hint="eastAsia" w:ascii="宋体" w:hAnsi="宋体" w:cs="宋体"/>
          <w:color w:val="auto"/>
          <w:sz w:val="21"/>
          <w:szCs w:val="21"/>
          <w:highlight w:val="none"/>
        </w:rPr>
        <w:t>不能证明其报价合理性的，</w:t>
      </w:r>
      <w:r>
        <w:rPr>
          <w:rFonts w:hint="eastAsia" w:ascii="宋体" w:hAnsi="宋体" w:cs="宋体"/>
          <w:color w:val="auto"/>
          <w:sz w:val="21"/>
          <w:szCs w:val="21"/>
          <w:highlight w:val="none"/>
          <w:lang w:eastAsia="zh-CN"/>
        </w:rPr>
        <w:t>磋商小组</w:t>
      </w:r>
      <w:r>
        <w:rPr>
          <w:rFonts w:hint="eastAsia" w:ascii="宋体" w:hAnsi="宋体" w:cs="宋体"/>
          <w:color w:val="auto"/>
          <w:sz w:val="21"/>
          <w:szCs w:val="21"/>
          <w:highlight w:val="none"/>
        </w:rPr>
        <w:t>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outlineLvl w:val="1"/>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w:t>
      </w:r>
      <w:r>
        <w:rPr>
          <w:rFonts w:hint="eastAsia" w:ascii="宋体" w:hAnsi="宋体" w:cs="宋体"/>
          <w:bCs/>
          <w:color w:val="auto"/>
          <w:kern w:val="0"/>
          <w:szCs w:val="21"/>
          <w:highlight w:val="none"/>
          <w:lang w:eastAsia="zh-CN"/>
        </w:rPr>
        <w:t>成交候选人</w:t>
      </w:r>
      <w:r>
        <w:rPr>
          <w:rFonts w:hint="eastAsia" w:ascii="宋体" w:hAnsi="宋体" w:cs="宋体"/>
          <w:bCs/>
          <w:color w:val="auto"/>
          <w:kern w:val="0"/>
          <w:szCs w:val="21"/>
          <w:highlight w:val="none"/>
        </w:rPr>
        <w:t>（或</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39"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39"/>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为排名第一的</w:t>
      </w:r>
      <w:r>
        <w:rPr>
          <w:rFonts w:hint="eastAsia" w:ascii="宋体" w:hAnsi="宋体" w:cs="宋体"/>
          <w:color w:val="auto"/>
          <w:szCs w:val="21"/>
          <w:highlight w:val="none"/>
          <w:lang w:eastAsia="zh-CN"/>
        </w:rPr>
        <w:t>成交候选人</w:t>
      </w:r>
      <w:r>
        <w:rPr>
          <w:rFonts w:hint="eastAsia" w:ascii="宋体" w:hAnsi="宋体" w:cs="宋体"/>
          <w:color w:val="auto"/>
          <w:szCs w:val="21"/>
          <w:highlight w:val="none"/>
        </w:rPr>
        <w:t>，以此类推。得分相同的，按投标报价由低到高顺序排列。得分且投标报价相同的，按技术部分得分顺序排列。得分与技术指标优劣均相同的，通过随机抽取产生。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hint="eastAsia" w:ascii="宋体" w:hAnsi="宋体" w:eastAsia="宋体" w:cs="宋体"/>
          <w:color w:val="auto"/>
          <w:kern w:val="0"/>
          <w:szCs w:val="21"/>
          <w:highlight w:val="none"/>
          <w:lang w:eastAsia="zh-CN"/>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w:t>
      </w:r>
      <w:r>
        <w:rPr>
          <w:rFonts w:hint="eastAsia" w:ascii="宋体" w:hAnsi="宋体" w:cs="宋体"/>
          <w:b/>
          <w:bCs/>
          <w:color w:val="auto"/>
          <w:kern w:val="0"/>
          <w:szCs w:val="21"/>
          <w:highlight w:val="none"/>
          <w:lang w:eastAsia="zh-CN"/>
        </w:rPr>
        <w:t>成交人</w:t>
      </w:r>
      <w:r>
        <w:rPr>
          <w:rFonts w:hint="eastAsia" w:ascii="宋体" w:hAnsi="宋体" w:cs="宋体"/>
          <w:b/>
          <w:bCs/>
          <w:color w:val="auto"/>
          <w:kern w:val="0"/>
          <w:szCs w:val="21"/>
          <w:highlight w:val="none"/>
        </w:rPr>
        <w:t>和</w:t>
      </w:r>
      <w:r>
        <w:rPr>
          <w:rFonts w:hint="eastAsia" w:ascii="宋体" w:hAnsi="宋体" w:cs="宋体"/>
          <w:b/>
          <w:bCs/>
          <w:color w:val="auto"/>
          <w:kern w:val="0"/>
          <w:szCs w:val="21"/>
          <w:highlight w:val="none"/>
          <w:lang w:eastAsia="zh-CN"/>
        </w:rPr>
        <w:t>成交候选人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w:t>
      </w:r>
      <w:r>
        <w:rPr>
          <w:rFonts w:hint="eastAsia" w:ascii="宋体" w:hAnsi="宋体" w:cs="宋体"/>
          <w:bCs/>
          <w:color w:val="auto"/>
          <w:kern w:val="0"/>
          <w:szCs w:val="21"/>
          <w:highlight w:val="none"/>
          <w:lang w:eastAsia="zh-CN"/>
        </w:rPr>
        <w:t>磋商小组</w:t>
      </w:r>
      <w:r>
        <w:rPr>
          <w:rFonts w:hint="eastAsia" w:ascii="宋体" w:hAnsi="宋体" w:cs="宋体"/>
          <w:bCs/>
          <w:color w:val="auto"/>
          <w:kern w:val="0"/>
          <w:szCs w:val="21"/>
          <w:highlight w:val="none"/>
        </w:rPr>
        <w:t>确定一名</w:t>
      </w:r>
      <w:r>
        <w:rPr>
          <w:rFonts w:hint="eastAsia" w:ascii="宋体" w:hAnsi="宋体" w:cs="宋体"/>
          <w:bCs/>
          <w:color w:val="auto"/>
          <w:kern w:val="0"/>
          <w:szCs w:val="21"/>
          <w:highlight w:val="none"/>
          <w:lang w:eastAsia="zh-CN"/>
        </w:rPr>
        <w:t>成交人</w:t>
      </w:r>
      <w:r>
        <w:rPr>
          <w:rFonts w:hint="eastAsia" w:ascii="宋体" w:hAnsi="宋体" w:cs="宋体"/>
          <w:bCs/>
          <w:color w:val="auto"/>
          <w:kern w:val="0"/>
          <w:szCs w:val="21"/>
          <w:highlight w:val="none"/>
        </w:rPr>
        <w:t>并推荐</w:t>
      </w:r>
      <w:r>
        <w:rPr>
          <w:rFonts w:hint="eastAsia" w:ascii="宋体" w:hAnsi="宋体" w:cs="宋体"/>
          <w:bCs/>
          <w:color w:val="auto"/>
          <w:kern w:val="0"/>
          <w:szCs w:val="21"/>
          <w:highlight w:val="none"/>
          <w:lang w:val="en-US" w:eastAsia="zh-CN"/>
        </w:rPr>
        <w:t>一</w:t>
      </w:r>
      <w:r>
        <w:rPr>
          <w:rFonts w:hint="eastAsia" w:ascii="宋体" w:hAnsi="宋体" w:cs="宋体"/>
          <w:bCs/>
          <w:color w:val="auto"/>
          <w:kern w:val="0"/>
          <w:szCs w:val="21"/>
          <w:highlight w:val="none"/>
        </w:rPr>
        <w:t>名</w:t>
      </w:r>
      <w:r>
        <w:rPr>
          <w:rFonts w:hint="eastAsia" w:ascii="宋体" w:hAnsi="宋体" w:cs="宋体"/>
          <w:bCs/>
          <w:color w:val="auto"/>
          <w:kern w:val="0"/>
          <w:szCs w:val="21"/>
          <w:highlight w:val="none"/>
          <w:lang w:eastAsia="zh-CN"/>
        </w:rPr>
        <w:t>成交候选人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xml:space="preserve">. </w:t>
      </w:r>
      <w:r>
        <w:rPr>
          <w:rFonts w:hint="eastAsia" w:ascii="宋体" w:hAnsi="宋体" w:cs="宋体"/>
          <w:b/>
          <w:bCs/>
          <w:color w:val="auto"/>
          <w:kern w:val="0"/>
          <w:szCs w:val="21"/>
          <w:highlight w:val="none"/>
          <w:lang w:eastAsia="zh-CN"/>
        </w:rPr>
        <w:t>成交通知书</w:t>
      </w:r>
      <w:r>
        <w:rPr>
          <w:rFonts w:hint="eastAsia" w:ascii="宋体" w:hAnsi="宋体" w:cs="宋体"/>
          <w:b/>
          <w:bCs/>
          <w:color w:val="auto"/>
          <w:kern w:val="0"/>
          <w:szCs w:val="21"/>
          <w:highlight w:val="none"/>
        </w:rPr>
        <w:t>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w:t>
      </w:r>
      <w:r>
        <w:rPr>
          <w:rFonts w:hint="eastAsia" w:ascii="宋体" w:hAnsi="宋体" w:cs="宋体"/>
          <w:color w:val="auto"/>
          <w:kern w:val="0"/>
          <w:szCs w:val="21"/>
          <w:highlight w:val="none"/>
          <w:lang w:eastAsia="zh-CN"/>
        </w:rPr>
        <w:t>成交候选人</w:t>
      </w:r>
      <w:r>
        <w:rPr>
          <w:rFonts w:hint="eastAsia" w:ascii="宋体" w:hAnsi="宋体" w:cs="宋体"/>
          <w:color w:val="auto"/>
          <w:kern w:val="0"/>
          <w:szCs w:val="21"/>
          <w:highlight w:val="none"/>
        </w:rPr>
        <w:t>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发出</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在规定的时间内不领取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的，视为中标后自动放弃中标资格；</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对采购人和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具有同等法律效力。</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发出后，采购人改变中标结果，或者</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将作为签订合同的依据。合同签订后，</w:t>
      </w:r>
      <w:r>
        <w:rPr>
          <w:rFonts w:hint="eastAsia" w:ascii="宋体" w:hAnsi="宋体" w:cs="宋体"/>
          <w:bCs/>
          <w:color w:val="auto"/>
          <w:kern w:val="0"/>
          <w:szCs w:val="21"/>
          <w:highlight w:val="none"/>
          <w:lang w:eastAsia="zh-CN"/>
        </w:rPr>
        <w:t>成交通知书</w:t>
      </w:r>
      <w:r>
        <w:rPr>
          <w:rFonts w:hint="eastAsia" w:ascii="宋体" w:hAnsi="宋体" w:cs="宋体"/>
          <w:bCs/>
          <w:color w:val="auto"/>
          <w:kern w:val="0"/>
          <w:szCs w:val="21"/>
          <w:highlight w:val="none"/>
        </w:rPr>
        <w:t>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w:t>
      </w:r>
      <w:r>
        <w:rPr>
          <w:rFonts w:hint="eastAsia" w:ascii="宋体" w:hAnsi="宋体" w:cs="宋体"/>
          <w:bCs/>
          <w:color w:val="auto"/>
          <w:kern w:val="0"/>
          <w:szCs w:val="21"/>
          <w:highlight w:val="none"/>
          <w:lang w:eastAsia="zh-CN"/>
        </w:rPr>
        <w:t>供应商</w:t>
      </w:r>
      <w:r>
        <w:rPr>
          <w:rFonts w:hint="eastAsia" w:ascii="宋体" w:hAnsi="宋体" w:cs="宋体"/>
          <w:bCs/>
          <w:color w:val="auto"/>
          <w:kern w:val="0"/>
          <w:szCs w:val="21"/>
          <w:highlight w:val="none"/>
        </w:rPr>
        <w:t>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不足3家或通过资格性检查或符合性检查的</w:t>
      </w:r>
      <w:r>
        <w:rPr>
          <w:rFonts w:hint="eastAsia" w:ascii="宋体" w:hAnsi="宋体" w:cs="宋体"/>
          <w:color w:val="auto"/>
          <w:szCs w:val="21"/>
          <w:highlight w:val="none"/>
          <w:lang w:eastAsia="zh-CN"/>
        </w:rPr>
        <w:t>供应商</w:t>
      </w:r>
      <w:r>
        <w:rPr>
          <w:rFonts w:hint="eastAsia" w:ascii="宋体" w:hAnsi="宋体" w:cs="宋体"/>
          <w:color w:val="auto"/>
          <w:szCs w:val="21"/>
          <w:highlight w:val="none"/>
        </w:rPr>
        <w:t>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0"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自</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w:t>
      </w:r>
      <w:r>
        <w:rPr>
          <w:rFonts w:hint="eastAsia" w:ascii="宋体" w:hAnsi="宋体" w:cs="宋体"/>
          <w:color w:val="auto"/>
          <w:kern w:val="0"/>
          <w:szCs w:val="21"/>
          <w:highlight w:val="none"/>
          <w:lang w:eastAsia="zh-CN"/>
        </w:rPr>
        <w:t>成交人</w:t>
      </w:r>
      <w:r>
        <w:rPr>
          <w:rFonts w:hint="eastAsia" w:ascii="宋体" w:hAnsi="宋体" w:cs="宋体"/>
          <w:color w:val="auto"/>
          <w:kern w:val="0"/>
          <w:szCs w:val="21"/>
          <w:highlight w:val="none"/>
        </w:rPr>
        <w:t>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.3 </w:t>
      </w:r>
      <w:r>
        <w:rPr>
          <w:rFonts w:hint="eastAsia" w:ascii="宋体" w:hAnsi="宋体" w:cs="宋体"/>
          <w:color w:val="auto"/>
          <w:kern w:val="0"/>
          <w:szCs w:val="21"/>
          <w:highlight w:val="none"/>
          <w:lang w:eastAsia="zh-CN"/>
        </w:rPr>
        <w:t>成交人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w:t>
      </w:r>
      <w:r>
        <w:rPr>
          <w:rFonts w:hint="eastAsia" w:cs="宋体"/>
          <w:color w:val="auto"/>
          <w:kern w:val="0"/>
          <w:szCs w:val="21"/>
          <w:highlight w:val="none"/>
          <w:lang w:eastAsia="zh-CN"/>
        </w:rPr>
        <w:t>磋商小组</w:t>
      </w:r>
      <w:r>
        <w:rPr>
          <w:rFonts w:hint="eastAsia" w:cs="宋体"/>
          <w:color w:val="auto"/>
          <w:kern w:val="0"/>
          <w:szCs w:val="21"/>
          <w:highlight w:val="none"/>
        </w:rPr>
        <w:t>提出的</w:t>
      </w:r>
      <w:r>
        <w:rPr>
          <w:rFonts w:hint="eastAsia" w:cs="宋体"/>
          <w:color w:val="auto"/>
          <w:kern w:val="0"/>
          <w:szCs w:val="21"/>
          <w:highlight w:val="none"/>
          <w:lang w:eastAsia="zh-CN"/>
        </w:rPr>
        <w:t>成交候选人</w:t>
      </w:r>
      <w:r>
        <w:rPr>
          <w:rFonts w:hint="eastAsia" w:cs="宋体"/>
          <w:color w:val="auto"/>
          <w:kern w:val="0"/>
          <w:szCs w:val="21"/>
          <w:highlight w:val="none"/>
        </w:rPr>
        <w:t>名单排序依次确定其他</w:t>
      </w:r>
      <w:r>
        <w:rPr>
          <w:rFonts w:hint="eastAsia" w:cs="宋体"/>
          <w:color w:val="auto"/>
          <w:kern w:val="0"/>
          <w:szCs w:val="21"/>
          <w:highlight w:val="none"/>
          <w:lang w:eastAsia="zh-CN"/>
        </w:rPr>
        <w:t>成交候选人</w:t>
      </w:r>
      <w:r>
        <w:rPr>
          <w:rFonts w:hint="eastAsia" w:cs="宋体"/>
          <w:color w:val="auto"/>
          <w:kern w:val="0"/>
          <w:szCs w:val="21"/>
          <w:highlight w:val="none"/>
        </w:rPr>
        <w:t>为</w:t>
      </w:r>
      <w:r>
        <w:rPr>
          <w:rFonts w:hint="eastAsia" w:cs="宋体"/>
          <w:color w:val="auto"/>
          <w:kern w:val="0"/>
          <w:szCs w:val="21"/>
          <w:highlight w:val="none"/>
          <w:lang w:eastAsia="zh-CN"/>
        </w:rPr>
        <w:t>成交人</w:t>
      </w:r>
      <w:r>
        <w:rPr>
          <w:rFonts w:hint="eastAsia" w:cs="宋体"/>
          <w:color w:val="auto"/>
          <w:kern w:val="0"/>
          <w:szCs w:val="21"/>
          <w:highlight w:val="none"/>
        </w:rPr>
        <w:t>，也可以重新招标。</w:t>
      </w:r>
    </w:p>
    <w:bookmarkEnd w:id="40"/>
    <w:p>
      <w:pPr>
        <w:rPr>
          <w:color w:val="auto"/>
          <w:highlight w:val="none"/>
        </w:rPr>
      </w:pPr>
      <w:bookmarkStart w:id="41" w:name="_Toc4700"/>
      <w:bookmarkStart w:id="42" w:name="_Toc16669"/>
      <w:r>
        <w:rPr>
          <w:color w:val="auto"/>
          <w:highlight w:val="none"/>
        </w:rPr>
        <w:br w:type="page"/>
      </w: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3" w:name="_Toc16473"/>
      <w:r>
        <w:rPr>
          <w:rFonts w:hint="eastAsia" w:ascii="黑体" w:hAnsi="宋体" w:eastAsia="黑体" w:cs="宋体"/>
          <w:b/>
          <w:bCs/>
          <w:color w:val="auto"/>
          <w:kern w:val="0"/>
          <w:sz w:val="32"/>
          <w:szCs w:val="32"/>
          <w:highlight w:val="none"/>
        </w:rPr>
        <w:t>第四章  评标办法及评分标准</w:t>
      </w:r>
      <w:bookmarkEnd w:id="41"/>
      <w:bookmarkEnd w:id="43"/>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cs="宋体"/>
          <w:b w:val="0"/>
          <w:bCs w:val="0"/>
          <w:color w:val="auto"/>
          <w:sz w:val="21"/>
          <w:szCs w:val="21"/>
          <w:highlight w:val="none"/>
          <w:lang w:eastAsia="zh-CN"/>
        </w:rPr>
        <w:t>磋商小组</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w:t>
      </w:r>
      <w:r>
        <w:rPr>
          <w:rFonts w:hint="eastAsia" w:ascii="宋体" w:hAnsi="宋体" w:cs="宋体"/>
          <w:b w:val="0"/>
          <w:bCs w:val="0"/>
          <w:color w:val="auto"/>
          <w:sz w:val="21"/>
          <w:szCs w:val="21"/>
          <w:highlight w:val="none"/>
          <w:lang w:eastAsia="zh-CN"/>
        </w:rPr>
        <w:t>供应商</w:t>
      </w:r>
      <w:r>
        <w:rPr>
          <w:rFonts w:hint="eastAsia" w:ascii="宋体" w:hAnsi="宋体" w:eastAsia="宋体" w:cs="宋体"/>
          <w:b w:val="0"/>
          <w:bCs w:val="0"/>
          <w:color w:val="auto"/>
          <w:sz w:val="21"/>
          <w:szCs w:val="21"/>
          <w:highlight w:val="none"/>
        </w:rPr>
        <w:t>为第一</w:t>
      </w:r>
      <w:r>
        <w:rPr>
          <w:rFonts w:hint="eastAsia" w:ascii="宋体" w:hAnsi="宋体" w:cs="宋体"/>
          <w:b w:val="0"/>
          <w:bCs w:val="0"/>
          <w:color w:val="auto"/>
          <w:sz w:val="21"/>
          <w:szCs w:val="21"/>
          <w:highlight w:val="none"/>
          <w:lang w:eastAsia="zh-CN"/>
        </w:rPr>
        <w:t>成交候选人</w:t>
      </w:r>
      <w:r>
        <w:rPr>
          <w:rFonts w:hint="eastAsia" w:ascii="宋体" w:hAnsi="宋体" w:eastAsia="宋体" w:cs="宋体"/>
          <w:b w:val="0"/>
          <w:bCs w:val="0"/>
          <w:color w:val="auto"/>
          <w:sz w:val="21"/>
          <w:szCs w:val="21"/>
          <w:highlight w:val="none"/>
        </w:rPr>
        <w:t>。</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1468"/>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c>
          <w:tcPr>
            <w:tcW w:w="8243" w:type="dxa"/>
            <w:gridSpan w:val="2"/>
            <w:noWrap w:val="0"/>
            <w:vAlign w:val="center"/>
          </w:tcPr>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的投标报价明显低于其他投标报价，使其投标报价可能低于其个别成本的，评标委员会可对其质询，并要求该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做出书面说明和提供相关的证明材料；该</w:t>
            </w:r>
            <w:r>
              <w:rPr>
                <w:rFonts w:hint="eastAsia" w:hAnsi="宋体" w:cs="宋体"/>
                <w:b w:val="0"/>
                <w:bCs w:val="0"/>
                <w:color w:val="auto"/>
                <w:sz w:val="21"/>
                <w:szCs w:val="21"/>
                <w:highlight w:val="none"/>
                <w:u w:val="none"/>
                <w:lang w:eastAsia="zh-CN"/>
              </w:rPr>
              <w:t>供应商</w:t>
            </w:r>
            <w:r>
              <w:rPr>
                <w:rFonts w:hint="eastAsia" w:ascii="宋体" w:hAnsi="宋体" w:eastAsia="宋体" w:cs="宋体"/>
                <w:b w:val="0"/>
                <w:bCs w:val="0"/>
                <w:color w:val="auto"/>
                <w:sz w:val="21"/>
                <w:szCs w:val="21"/>
                <w:highlight w:val="none"/>
                <w:u w:val="none"/>
              </w:rPr>
              <w:t>不能合理说明或提供证明材料的，评标委员会应按无效投标处理。</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ascii="宋体" w:hAnsi="宋体" w:eastAsia="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ascii="宋体" w:hAnsi="宋体" w:eastAsia="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rPr>
              <w:t>投标报价得分=（评标基准价/有效投标报价）×</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55</w:t>
            </w:r>
            <w:r>
              <w:rPr>
                <w:rFonts w:hint="eastAsia" w:ascii="宋体" w:hAnsi="宋体" w:eastAsia="宋体" w:cs="宋体"/>
                <w:b w:val="0"/>
                <w:bCs w:val="0"/>
                <w:color w:val="auto"/>
                <w:sz w:val="21"/>
                <w:szCs w:val="21"/>
                <w:highlight w:val="none"/>
                <w:lang w:eastAsia="zh-CN"/>
              </w:rPr>
              <w:t>分）</w:t>
            </w: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1.服务能力的响应程度(</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完全满足招标文件第二章 采购需求 </w:t>
            </w:r>
            <w:r>
              <w:rPr>
                <w:rFonts w:hint="eastAsia" w:ascii="宋体" w:hAnsi="宋体" w:cs="宋体"/>
                <w:b w:val="0"/>
                <w:bCs w:val="0"/>
                <w:color w:val="auto"/>
                <w:sz w:val="21"/>
                <w:szCs w:val="21"/>
                <w:highlight w:val="none"/>
                <w:lang w:eastAsia="zh-CN"/>
              </w:rPr>
              <w:t>三</w:t>
            </w:r>
            <w:r>
              <w:rPr>
                <w:rFonts w:hint="eastAsia" w:ascii="宋体" w:hAnsi="宋体" w:eastAsia="宋体" w:cs="宋体"/>
                <w:b w:val="0"/>
                <w:bCs w:val="0"/>
                <w:color w:val="auto"/>
                <w:sz w:val="21"/>
                <w:szCs w:val="21"/>
                <w:highlight w:val="none"/>
              </w:rPr>
              <w:t>、技术要求”的得</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0分；一项不满足扣</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得分为0，则投标无效。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1）供应商需提供参数偏离表，并标注偏离情况。</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2）提供相关证明文件。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w:t>
            </w:r>
            <w:r>
              <w:rPr>
                <w:rFonts w:hint="eastAsia" w:ascii="宋体" w:hAnsi="宋体" w:cs="宋体"/>
                <w:b w:val="0"/>
                <w:bCs w:val="0"/>
                <w:color w:val="auto"/>
                <w:sz w:val="21"/>
                <w:szCs w:val="21"/>
                <w:highlight w:val="none"/>
                <w:lang w:val="en-US" w:eastAsia="zh-CN"/>
              </w:rPr>
              <w:t>实施计划</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根据</w:t>
            </w:r>
            <w:r>
              <w:rPr>
                <w:rFonts w:hint="eastAsia" w:ascii="宋体" w:hAnsi="宋体" w:cs="宋体"/>
                <w:b w:val="0"/>
                <w:bCs w:val="0"/>
                <w:color w:val="auto"/>
                <w:sz w:val="21"/>
                <w:szCs w:val="21"/>
                <w:highlight w:val="none"/>
                <w:lang w:val="en-US" w:eastAsia="zh-CN"/>
              </w:rPr>
              <w:t>供应商</w:t>
            </w:r>
            <w:r>
              <w:rPr>
                <w:rFonts w:hint="eastAsia" w:ascii="宋体" w:hAnsi="宋体" w:eastAsia="宋体" w:cs="宋体"/>
                <w:b w:val="0"/>
                <w:bCs w:val="0"/>
                <w:color w:val="auto"/>
                <w:sz w:val="21"/>
                <w:szCs w:val="21"/>
                <w:highlight w:val="none"/>
                <w:lang w:val="en-US" w:eastAsia="zh-CN"/>
              </w:rPr>
              <w:t>制定的年度服务报告、维修报告、维保报告、巡查报告制度，设备常见故障分析及预防措施，设备维保应急响应方案。</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以上内容具体、完善、合理性程度强得11-</w:t>
            </w:r>
            <w:r>
              <w:rPr>
                <w:rFonts w:hint="eastAsia" w:ascii="宋体" w:hAnsi="宋体" w:cs="宋体"/>
                <w:b w:val="0"/>
                <w:bCs w:val="0"/>
                <w:color w:val="auto"/>
                <w:sz w:val="21"/>
                <w:szCs w:val="21"/>
                <w:highlight w:val="none"/>
                <w:lang w:val="en-US" w:eastAsia="zh-CN"/>
              </w:rPr>
              <w:t>15</w:t>
            </w:r>
            <w:r>
              <w:rPr>
                <w:rFonts w:hint="eastAsia" w:ascii="宋体" w:hAnsi="宋体" w:eastAsia="宋体" w:cs="宋体"/>
                <w:b w:val="0"/>
                <w:bCs w:val="0"/>
                <w:color w:val="auto"/>
                <w:sz w:val="21"/>
                <w:szCs w:val="21"/>
                <w:highlight w:val="none"/>
                <w:lang w:val="en-US" w:eastAsia="zh-CN"/>
              </w:rPr>
              <w:t>分，具体、完善、合理性程度一般得6-10分，具体、完善、合理性程度差得1-5分，缺项得0分。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3.备品备件</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（10分）</w:t>
            </w:r>
          </w:p>
        </w:tc>
        <w:tc>
          <w:tcPr>
            <w:tcW w:w="6775" w:type="dxa"/>
            <w:noWrap w:val="0"/>
            <w:vAlign w:val="center"/>
          </w:tcPr>
          <w:p>
            <w:pPr>
              <w:keepNext w:val="0"/>
              <w:keepLines w:val="0"/>
              <w:widowControl/>
              <w:suppressLineNumbers w:val="0"/>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sz w:val="21"/>
                <w:szCs w:val="21"/>
                <w:highlight w:val="none"/>
                <w:lang w:val="en-US" w:eastAsia="zh-CN"/>
              </w:rPr>
              <w:t>针对本项目的备件库进行计分，根据备件库远近、备件种类及数量情况进行评分，备件库备件种类、数量及方便性完全满足采购人需求的，得 8-10 分；备件库备件种类、数量及方便性不能完全满足采购人需求的，得 4-7 分；备件库备件种类、数量及方便性不满足采购人需求的，得 1-3 分。 （需提供备件库租赁或买卖合同，详细备件报价清单）。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30</w:t>
            </w:r>
            <w:r>
              <w:rPr>
                <w:rFonts w:hint="eastAsia" w:ascii="宋体" w:hAnsi="宋体" w:eastAsia="宋体" w:cs="宋体"/>
                <w:b w:val="0"/>
                <w:bCs w:val="0"/>
                <w:color w:val="auto"/>
                <w:sz w:val="21"/>
                <w:szCs w:val="21"/>
                <w:highlight w:val="none"/>
                <w:lang w:eastAsia="zh-CN"/>
              </w:rPr>
              <w:t>分)</w:t>
            </w: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1.服务团队</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（10分）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服务团队组织结构合理，人员分工及职责明确、持证上岗。</w:t>
            </w:r>
          </w:p>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b w:val="0"/>
                <w:bCs w:val="0"/>
                <w:color w:val="auto"/>
                <w:kern w:val="0"/>
                <w:sz w:val="21"/>
                <w:szCs w:val="21"/>
                <w:highlight w:val="none"/>
                <w:lang w:val="en-US" w:eastAsia="zh-CN"/>
              </w:rPr>
            </w:pPr>
            <w:r>
              <w:rPr>
                <w:rFonts w:hint="eastAsia" w:ascii="宋体" w:hAnsi="宋体" w:eastAsia="宋体" w:cs="宋体"/>
                <w:color w:val="auto"/>
                <w:highlight w:val="none"/>
                <w:lang w:val="en-US" w:eastAsia="zh-CN"/>
              </w:rPr>
              <w:t>完全满足采购需求的得</w:t>
            </w:r>
            <w:r>
              <w:rPr>
                <w:rFonts w:hint="eastAsia" w:ascii="宋体" w:hAnsi="宋体" w:cs="宋体"/>
                <w:color w:val="auto"/>
                <w:highlight w:val="none"/>
                <w:lang w:val="en-US" w:eastAsia="zh-CN"/>
              </w:rPr>
              <w:t>8</w:t>
            </w:r>
            <w:r>
              <w:rPr>
                <w:rFonts w:hint="eastAsia" w:ascii="宋体" w:hAnsi="宋体" w:eastAsia="宋体" w:cs="宋体"/>
                <w:color w:val="auto"/>
                <w:highlight w:val="none"/>
                <w:lang w:val="en-US" w:eastAsia="zh-CN"/>
              </w:rPr>
              <w:t>-10分；基本满足的得4-</w:t>
            </w:r>
            <w:r>
              <w:rPr>
                <w:rFonts w:hint="eastAsia" w:ascii="宋体" w:hAnsi="宋体" w:cs="宋体"/>
                <w:color w:val="auto"/>
                <w:highlight w:val="none"/>
                <w:lang w:val="en-US" w:eastAsia="zh-CN"/>
              </w:rPr>
              <w:t>7</w:t>
            </w:r>
            <w:r>
              <w:rPr>
                <w:rFonts w:hint="eastAsia" w:ascii="宋体" w:hAnsi="宋体" w:eastAsia="宋体" w:cs="宋体"/>
                <w:color w:val="auto"/>
                <w:highlight w:val="none"/>
                <w:lang w:val="en-US" w:eastAsia="zh-CN"/>
              </w:rPr>
              <w:t>分；一般满足采购的得1-3分。缺项得0分。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eastAsia="zh-CN"/>
              </w:rPr>
            </w:pPr>
          </w:p>
        </w:tc>
        <w:tc>
          <w:tcPr>
            <w:tcW w:w="1468"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2.类似业绩（4分）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供应商</w:t>
            </w:r>
            <w:r>
              <w:rPr>
                <w:rFonts w:hint="eastAsia" w:ascii="宋体" w:hAnsi="宋体" w:eastAsia="宋体" w:cs="宋体"/>
                <w:color w:val="auto"/>
                <w:highlight w:val="none"/>
                <w:lang w:val="en-US" w:eastAsia="zh-CN"/>
              </w:rPr>
              <w:t>2021年1月1日具有的类似服务业绩(以合同文件为准），每提供一份得2分，最多得4分。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3.售后服务</w:t>
            </w:r>
          </w:p>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w:t>
            </w:r>
            <w:r>
              <w:rPr>
                <w:rFonts w:hint="eastAsia" w:ascii="宋体" w:hAnsi="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lang w:val="en-US" w:eastAsia="zh-CN"/>
              </w:rPr>
              <w:t>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cs="宋体"/>
                <w:color w:val="auto"/>
                <w:highlight w:val="none"/>
                <w:lang w:eastAsia="zh-CN"/>
              </w:rPr>
              <w:t>供应商</w:t>
            </w:r>
            <w:r>
              <w:rPr>
                <w:rFonts w:hint="eastAsia" w:ascii="宋体" w:hAnsi="宋体" w:eastAsia="宋体" w:cs="宋体"/>
                <w:color w:val="auto"/>
                <w:highlight w:val="none"/>
              </w:rPr>
              <w:t>服务网点设立情况（提供专业技术人员联系方式和服务站地址）、培训方案、服务及时率、服务到位程度及增值服务等；</w:t>
            </w:r>
          </w:p>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color w:val="auto"/>
                <w:highlight w:val="none"/>
              </w:rPr>
            </w:pPr>
            <w:r>
              <w:rPr>
                <w:rFonts w:hint="eastAsia" w:ascii="宋体" w:hAnsi="宋体" w:eastAsia="宋体" w:cs="宋体"/>
                <w:color w:val="auto"/>
                <w:highlight w:val="none"/>
              </w:rPr>
              <w:t>以上内容具体、完善、合理性程度强得</w:t>
            </w:r>
            <w:r>
              <w:rPr>
                <w:rFonts w:hint="eastAsia" w:ascii="宋体" w:hAnsi="宋体" w:cs="宋体"/>
                <w:color w:val="auto"/>
                <w:highlight w:val="none"/>
                <w:lang w:val="en-US" w:eastAsia="zh-CN"/>
              </w:rPr>
              <w:t>8</w:t>
            </w:r>
            <w:r>
              <w:rPr>
                <w:rFonts w:hint="eastAsia" w:ascii="宋体" w:hAnsi="宋体" w:eastAsia="宋体" w:cs="宋体"/>
                <w:color w:val="auto"/>
                <w:highlight w:val="none"/>
              </w:rPr>
              <w:t>-1</w:t>
            </w:r>
            <w:r>
              <w:rPr>
                <w:rFonts w:hint="eastAsia" w:ascii="宋体" w:hAnsi="宋体" w:cs="宋体"/>
                <w:color w:val="auto"/>
                <w:highlight w:val="none"/>
                <w:lang w:val="en-US" w:eastAsia="zh-CN"/>
              </w:rPr>
              <w:t>0</w:t>
            </w:r>
            <w:r>
              <w:rPr>
                <w:rFonts w:hint="eastAsia" w:ascii="宋体" w:hAnsi="宋体" w:eastAsia="宋体" w:cs="宋体"/>
                <w:color w:val="auto"/>
                <w:highlight w:val="none"/>
              </w:rPr>
              <w:t>分，具体、完善、合理性程度一般得</w:t>
            </w:r>
            <w:r>
              <w:rPr>
                <w:rFonts w:hint="eastAsia" w:ascii="宋体" w:hAnsi="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cs="宋体"/>
                <w:color w:val="auto"/>
                <w:highlight w:val="none"/>
                <w:lang w:val="en-US" w:eastAsia="zh-CN"/>
              </w:rPr>
              <w:t>7</w:t>
            </w:r>
            <w:r>
              <w:rPr>
                <w:rFonts w:hint="eastAsia" w:ascii="宋体" w:hAnsi="宋体" w:eastAsia="宋体" w:cs="宋体"/>
                <w:color w:val="auto"/>
                <w:highlight w:val="none"/>
              </w:rPr>
              <w:t>分，具体、完善、合理性程度差得1-</w:t>
            </w:r>
            <w:r>
              <w:rPr>
                <w:rFonts w:hint="eastAsia" w:ascii="宋体" w:hAnsi="宋体" w:cs="宋体"/>
                <w:color w:val="auto"/>
                <w:highlight w:val="none"/>
                <w:lang w:val="en-US" w:eastAsia="zh-CN"/>
              </w:rPr>
              <w:t>3</w:t>
            </w:r>
            <w:r>
              <w:rPr>
                <w:rFonts w:hint="eastAsia" w:ascii="宋体" w:hAnsi="宋体" w:eastAsia="宋体" w:cs="宋体"/>
                <w:color w:val="auto"/>
                <w:highlight w:val="none"/>
              </w:rPr>
              <w:t>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vMerge w:val="continue"/>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p>
        </w:tc>
        <w:tc>
          <w:tcPr>
            <w:tcW w:w="146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Chars="0"/>
              <w:jc w:val="center"/>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4.其他优惠承诺</w:t>
            </w:r>
          </w:p>
          <w:p>
            <w:pPr>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left="0" w:leftChars="0" w:firstLine="0" w:firstLineChars="0"/>
              <w:jc w:val="center"/>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（6分）</w:t>
            </w:r>
          </w:p>
        </w:tc>
        <w:tc>
          <w:tcPr>
            <w:tcW w:w="6775"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rPr>
                <w:rFonts w:hint="eastAsia" w:ascii="宋体" w:hAnsi="宋体" w:eastAsia="宋体" w:cs="宋体"/>
                <w:b w:val="0"/>
                <w:bCs w:val="0"/>
                <w:color w:val="auto"/>
                <w:sz w:val="21"/>
                <w:szCs w:val="21"/>
                <w:highlight w:val="none"/>
              </w:rPr>
            </w:pPr>
            <w:r>
              <w:rPr>
                <w:rFonts w:hint="eastAsia" w:ascii="宋体" w:hAnsi="宋体" w:eastAsia="宋体" w:cs="宋体"/>
                <w:color w:val="auto"/>
                <w:kern w:val="2"/>
                <w:sz w:val="21"/>
                <w:szCs w:val="21"/>
                <w:highlight w:val="none"/>
                <w:lang w:val="en-US" w:eastAsia="zh-CN" w:bidi="ar-SA"/>
              </w:rPr>
              <w:t>根据供应商提出的有利于采购人的优惠条件及优惠承诺进行综合对比，优惠力度强得5-6分，优惠力度一般得3-4分，优惠力度差得1-2分，缺项得0分。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numPr>
          <w:ilvl w:val="0"/>
          <w:numId w:val="0"/>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2"/>
    <w:p>
      <w:pPr>
        <w:rPr>
          <w:color w:val="auto"/>
          <w:highlight w:val="none"/>
        </w:rPr>
      </w:pPr>
      <w:bookmarkStart w:id="44" w:name="_Toc1947"/>
      <w:bookmarkStart w:id="45" w:name="_Toc1482"/>
      <w:bookmarkStart w:id="46" w:name="_Toc256519703"/>
      <w:bookmarkStart w:id="47" w:name="_Toc326786897"/>
    </w:p>
    <w:p>
      <w:pPr>
        <w:pStyle w:val="2"/>
        <w:snapToGrid w:val="0"/>
        <w:spacing w:before="0" w:after="0" w:line="480" w:lineRule="auto"/>
        <w:jc w:val="center"/>
        <w:rPr>
          <w:color w:val="auto"/>
          <w:sz w:val="28"/>
          <w:szCs w:val="28"/>
          <w:highlight w:val="yellow"/>
        </w:rPr>
      </w:pPr>
      <w:bookmarkStart w:id="48" w:name="_Toc1638"/>
      <w:r>
        <w:rPr>
          <w:rFonts w:hint="eastAsia"/>
          <w:color w:val="auto"/>
          <w:sz w:val="28"/>
          <w:szCs w:val="28"/>
          <w:highlight w:val="none"/>
        </w:rPr>
        <w:t>第五章  采购合同</w:t>
      </w:r>
      <w:bookmarkEnd w:id="48"/>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0"/>
      </w:pPr>
    </w:p>
    <w:p>
      <w:pPr>
        <w:pStyle w:val="2"/>
        <w:jc w:val="center"/>
        <w:rPr>
          <w:rFonts w:ascii="宋体" w:hAnsi="宋体" w:cs="宋体"/>
          <w:color w:val="auto"/>
          <w:kern w:val="0"/>
          <w:highlight w:val="none"/>
        </w:rPr>
      </w:pPr>
      <w:bookmarkStart w:id="49" w:name="_Toc5963"/>
      <w:r>
        <w:rPr>
          <w:rFonts w:hint="eastAsia"/>
          <w:color w:val="auto"/>
          <w:sz w:val="32"/>
          <w:szCs w:val="32"/>
          <w:highlight w:val="none"/>
        </w:rPr>
        <w:t>第六章  投标文件格式</w:t>
      </w:r>
      <w:bookmarkEnd w:id="44"/>
      <w:bookmarkEnd w:id="45"/>
      <w:bookmarkEnd w:id="49"/>
    </w:p>
    <w:p>
      <w:pPr>
        <w:spacing w:line="440" w:lineRule="exact"/>
        <w:rPr>
          <w:color w:val="auto"/>
          <w:sz w:val="24"/>
          <w:highlight w:val="none"/>
        </w:rPr>
      </w:pPr>
    </w:p>
    <w:p>
      <w:pPr>
        <w:jc w:val="center"/>
        <w:rPr>
          <w:b/>
          <w:bCs/>
          <w:color w:val="auto"/>
          <w:sz w:val="32"/>
          <w:szCs w:val="32"/>
          <w:highlight w:val="none"/>
        </w:rPr>
      </w:pPr>
      <w:bookmarkStart w:id="50" w:name="_Toc13604"/>
      <w:r>
        <w:rPr>
          <w:rFonts w:hint="eastAsia"/>
          <w:b/>
          <w:bCs/>
          <w:color w:val="auto"/>
          <w:sz w:val="32"/>
          <w:szCs w:val="32"/>
          <w:highlight w:val="none"/>
        </w:rPr>
        <w:t>目    录</w:t>
      </w:r>
      <w:bookmarkEnd w:id="50"/>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1" w:name="_Toc11308"/>
      <w:r>
        <w:rPr>
          <w:rFonts w:hint="eastAsia"/>
          <w:color w:val="auto"/>
          <w:sz w:val="24"/>
          <w:highlight w:val="none"/>
        </w:rPr>
        <w:t>附件1投标文件封面（格式）</w:t>
      </w:r>
      <w:bookmarkEnd w:id="51"/>
    </w:p>
    <w:p>
      <w:pPr>
        <w:snapToGrid w:val="0"/>
        <w:spacing w:line="360" w:lineRule="auto"/>
        <w:ind w:firstLine="480" w:firstLineChars="200"/>
        <w:rPr>
          <w:color w:val="auto"/>
          <w:sz w:val="24"/>
          <w:highlight w:val="none"/>
        </w:rPr>
      </w:pPr>
      <w:bookmarkStart w:id="52" w:name="_Toc25345"/>
      <w:r>
        <w:rPr>
          <w:rFonts w:hint="eastAsia"/>
          <w:color w:val="auto"/>
          <w:sz w:val="24"/>
          <w:highlight w:val="none"/>
        </w:rPr>
        <w:t>附件2 投标书（格式）</w:t>
      </w:r>
      <w:bookmarkEnd w:id="52"/>
    </w:p>
    <w:p>
      <w:pPr>
        <w:snapToGrid w:val="0"/>
        <w:spacing w:line="360" w:lineRule="auto"/>
        <w:ind w:firstLine="480" w:firstLineChars="200"/>
        <w:rPr>
          <w:color w:val="auto"/>
          <w:sz w:val="24"/>
          <w:highlight w:val="none"/>
        </w:rPr>
      </w:pPr>
      <w:bookmarkStart w:id="53" w:name="_Toc10217"/>
      <w:r>
        <w:rPr>
          <w:rFonts w:hint="eastAsia"/>
          <w:color w:val="auto"/>
          <w:sz w:val="24"/>
          <w:highlight w:val="none"/>
        </w:rPr>
        <w:t>附件3 开标一览表（格式）</w:t>
      </w:r>
      <w:bookmarkEnd w:id="53"/>
    </w:p>
    <w:p>
      <w:pPr>
        <w:snapToGrid w:val="0"/>
        <w:spacing w:line="360" w:lineRule="auto"/>
        <w:ind w:firstLine="480" w:firstLineChars="200"/>
        <w:rPr>
          <w:rFonts w:hint="default"/>
          <w:color w:val="auto"/>
          <w:sz w:val="24"/>
          <w:highlight w:val="none"/>
          <w:lang w:val="en-US"/>
        </w:rPr>
      </w:pPr>
      <w:bookmarkStart w:id="54" w:name="_Toc9579"/>
      <w:r>
        <w:rPr>
          <w:rFonts w:hint="eastAsia"/>
          <w:color w:val="auto"/>
          <w:sz w:val="24"/>
          <w:highlight w:val="none"/>
        </w:rPr>
        <w:t xml:space="preserve">附件4 </w:t>
      </w:r>
      <w:bookmarkEnd w:id="54"/>
      <w:r>
        <w:rPr>
          <w:rFonts w:hint="eastAsia"/>
          <w:color w:val="auto"/>
          <w:sz w:val="24"/>
          <w:highlight w:val="none"/>
          <w:lang w:val="en-US" w:eastAsia="zh-CN"/>
        </w:rPr>
        <w:t>报价明细表</w:t>
      </w:r>
    </w:p>
    <w:p>
      <w:pPr>
        <w:snapToGrid w:val="0"/>
        <w:spacing w:line="360" w:lineRule="auto"/>
        <w:ind w:firstLine="480" w:firstLineChars="200"/>
        <w:rPr>
          <w:color w:val="auto"/>
          <w:sz w:val="24"/>
          <w:highlight w:val="none"/>
        </w:rPr>
      </w:pPr>
      <w:bookmarkStart w:id="55" w:name="_Toc28392"/>
      <w:r>
        <w:rPr>
          <w:rFonts w:hint="eastAsia"/>
          <w:color w:val="auto"/>
          <w:sz w:val="24"/>
          <w:highlight w:val="none"/>
        </w:rPr>
        <w:t>附件5</w:t>
      </w:r>
      <w:r>
        <w:rPr>
          <w:rFonts w:hint="eastAsia"/>
          <w:color w:val="auto"/>
          <w:sz w:val="24"/>
          <w:highlight w:val="none"/>
          <w:lang w:val="en-US" w:eastAsia="zh-CN"/>
        </w:rPr>
        <w:t xml:space="preserve"> </w:t>
      </w:r>
      <w:r>
        <w:rPr>
          <w:rFonts w:hint="eastAsia"/>
          <w:color w:val="auto"/>
          <w:sz w:val="24"/>
          <w:highlight w:val="none"/>
        </w:rPr>
        <w:t>技术</w:t>
      </w:r>
      <w:r>
        <w:rPr>
          <w:rFonts w:hint="eastAsia"/>
          <w:color w:val="auto"/>
          <w:sz w:val="24"/>
          <w:highlight w:val="none"/>
          <w:lang w:val="en-US" w:eastAsia="zh-CN"/>
        </w:rPr>
        <w:t>部分</w:t>
      </w:r>
      <w:bookmarkEnd w:id="55"/>
    </w:p>
    <w:p>
      <w:pPr>
        <w:snapToGrid w:val="0"/>
        <w:spacing w:line="360" w:lineRule="auto"/>
        <w:ind w:firstLine="480" w:firstLineChars="200"/>
        <w:rPr>
          <w:rFonts w:hint="eastAsia" w:eastAsia="宋体"/>
          <w:color w:val="auto"/>
          <w:sz w:val="24"/>
          <w:highlight w:val="none"/>
          <w:lang w:val="en-US" w:eastAsia="zh-CN"/>
        </w:rPr>
      </w:pPr>
      <w:bookmarkStart w:id="56" w:name="_Toc6234"/>
      <w:r>
        <w:rPr>
          <w:rFonts w:hint="eastAsia"/>
          <w:color w:val="auto"/>
          <w:sz w:val="24"/>
          <w:highlight w:val="none"/>
        </w:rPr>
        <w:t>附件6 商务</w:t>
      </w:r>
      <w:bookmarkEnd w:id="56"/>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7"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7"/>
    </w:p>
    <w:p>
      <w:pPr>
        <w:snapToGrid w:val="0"/>
        <w:spacing w:line="360" w:lineRule="auto"/>
        <w:ind w:firstLine="480" w:firstLineChars="200"/>
        <w:rPr>
          <w:color w:val="auto"/>
          <w:sz w:val="24"/>
          <w:highlight w:val="none"/>
        </w:rPr>
      </w:pPr>
      <w:bookmarkStart w:id="58"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8"/>
    </w:p>
    <w:p>
      <w:pPr>
        <w:snapToGrid w:val="0"/>
        <w:spacing w:line="360" w:lineRule="auto"/>
        <w:ind w:firstLine="480" w:firstLineChars="200"/>
        <w:rPr>
          <w:color w:val="auto"/>
          <w:sz w:val="24"/>
          <w:highlight w:val="none"/>
        </w:rPr>
      </w:pPr>
      <w:bookmarkStart w:id="59" w:name="_Toc31857"/>
      <w:r>
        <w:rPr>
          <w:rFonts w:hint="eastAsia"/>
          <w:color w:val="auto"/>
          <w:sz w:val="24"/>
          <w:highlight w:val="none"/>
        </w:rPr>
        <w:t>附件9 证明文件</w:t>
      </w:r>
      <w:bookmarkEnd w:id="59"/>
    </w:p>
    <w:p>
      <w:pPr>
        <w:snapToGrid w:val="0"/>
        <w:spacing w:line="360" w:lineRule="auto"/>
        <w:ind w:firstLine="480" w:firstLineChars="200"/>
        <w:rPr>
          <w:rFonts w:hint="eastAsia"/>
          <w:color w:val="auto"/>
          <w:sz w:val="24"/>
          <w:highlight w:val="none"/>
        </w:rPr>
      </w:pPr>
      <w:bookmarkStart w:id="60" w:name="_Toc23116"/>
      <w:r>
        <w:rPr>
          <w:rFonts w:hint="eastAsia"/>
          <w:color w:val="auto"/>
          <w:sz w:val="24"/>
          <w:highlight w:val="none"/>
        </w:rPr>
        <w:t>附件10 供应商承诺书（格式）</w:t>
      </w:r>
      <w:bookmarkEnd w:id="60"/>
    </w:p>
    <w:p>
      <w:pPr>
        <w:snapToGrid w:val="0"/>
        <w:spacing w:line="360" w:lineRule="auto"/>
        <w:ind w:firstLine="480" w:firstLineChars="200"/>
        <w:rPr>
          <w:rFonts w:hint="eastAsia"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附件11 供应商信用承诺函（格式）</w:t>
      </w:r>
    </w:p>
    <w:p>
      <w:pPr>
        <w:pStyle w:val="30"/>
        <w:rPr>
          <w:rFonts w:hint="eastAsia"/>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3"/>
        <w:rPr>
          <w:rFonts w:ascii="宋体" w:hAnsi="宋体" w:cs="宋体"/>
          <w:b/>
          <w:bCs/>
          <w:color w:val="auto"/>
          <w:kern w:val="0"/>
          <w:sz w:val="24"/>
          <w:highlight w:val="none"/>
        </w:rPr>
      </w:pPr>
    </w:p>
    <w:p>
      <w:pPr>
        <w:pStyle w:val="4"/>
        <w:rPr>
          <w:rFonts w:hAnsi="宋体"/>
          <w:b/>
          <w:bCs/>
          <w:color w:val="auto"/>
          <w:highlight w:val="none"/>
        </w:rPr>
      </w:pPr>
    </w:p>
    <w:p>
      <w:pPr>
        <w:pStyle w:val="4"/>
        <w:rPr>
          <w:rFonts w:hAnsi="宋体"/>
          <w:b/>
          <w:bCs/>
          <w:color w:val="auto"/>
          <w:highlight w:val="none"/>
        </w:rPr>
      </w:pPr>
    </w:p>
    <w:p>
      <w:pPr>
        <w:rPr>
          <w:color w:val="auto"/>
          <w:highlight w:val="none"/>
        </w:rPr>
      </w:pPr>
      <w:r>
        <w:rPr>
          <w:rFonts w:hint="eastAsia"/>
          <w:color w:val="auto"/>
          <w:highlight w:val="none"/>
        </w:rPr>
        <w:br w:type="page"/>
      </w:r>
    </w:p>
    <w:p>
      <w:pPr>
        <w:pStyle w:val="25"/>
        <w:rPr>
          <w:color w:val="auto"/>
          <w:highlight w:val="none"/>
        </w:rPr>
      </w:pPr>
    </w:p>
    <w:p>
      <w:pPr>
        <w:pStyle w:val="5"/>
        <w:rPr>
          <w:color w:val="auto"/>
          <w:highlight w:val="none"/>
        </w:rPr>
      </w:pPr>
      <w:bookmarkStart w:id="61" w:name="_Toc24743"/>
      <w:bookmarkStart w:id="62" w:name="_Toc31798"/>
      <w:r>
        <w:rPr>
          <w:rFonts w:hint="eastAsia"/>
          <w:color w:val="auto"/>
          <w:highlight w:val="none"/>
        </w:rPr>
        <w:t>附件1               投标文件封面（格式）</w:t>
      </w:r>
      <w:bookmarkEnd w:id="61"/>
      <w:bookmarkEnd w:id="62"/>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snapToGrid w:val="0"/>
          <w:color w:val="auto"/>
          <w:spacing w:val="0"/>
          <w:kern w:val="0"/>
          <w:sz w:val="44"/>
          <w:szCs w:val="44"/>
          <w:highlight w:val="none"/>
          <w:u w:val="none"/>
          <w:lang w:val="en-US" w:eastAsia="zh-CN"/>
        </w:rPr>
        <w:t>驻马店</w:t>
      </w:r>
      <w:r>
        <w:rPr>
          <w:rFonts w:hint="eastAsia" w:ascii="宋体" w:hAnsi="宋体" w:cs="宋体"/>
          <w:b/>
          <w:snapToGrid w:val="0"/>
          <w:color w:val="auto"/>
          <w:spacing w:val="0"/>
          <w:kern w:val="0"/>
          <w:sz w:val="44"/>
          <w:szCs w:val="44"/>
          <w:highlight w:val="none"/>
          <w:u w:val="none"/>
          <w:lang w:val="en-US" w:eastAsia="zh-CN"/>
        </w:rPr>
        <w:t>市</w:t>
      </w:r>
      <w:r>
        <w:rPr>
          <w:rFonts w:hint="eastAsia" w:ascii="宋体" w:hAnsi="宋体" w:eastAsia="宋体" w:cs="宋体"/>
          <w:b/>
          <w:snapToGrid w:val="0"/>
          <w:color w:val="auto"/>
          <w:spacing w:val="0"/>
          <w:kern w:val="0"/>
          <w:sz w:val="44"/>
          <w:szCs w:val="44"/>
          <w:highlight w:val="none"/>
          <w:u w:val="none"/>
          <w:lang w:val="en-US" w:eastAsia="zh-CN"/>
        </w:rPr>
        <w:t>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
        <w:spacing w:line="360" w:lineRule="auto"/>
        <w:rPr>
          <w:rFonts w:hint="eastAsia" w:ascii="宋体" w:hAnsi="宋体" w:eastAsia="宋体" w:cs="宋体"/>
          <w:color w:val="auto"/>
          <w:highlight w:val="none"/>
        </w:rPr>
      </w:pPr>
    </w:p>
    <w:p>
      <w:pPr>
        <w:pStyle w:val="4"/>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供应商</w:t>
      </w: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eastAsia="zh-CN"/>
        </w:rPr>
        <w:t>全称并</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cs="宋体"/>
          <w:color w:val="auto"/>
          <w:sz w:val="28"/>
          <w:szCs w:val="28"/>
          <w:highlight w:val="none"/>
          <w:lang w:val="en-US" w:eastAsia="zh-CN"/>
        </w:rPr>
        <w:t>签字或</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3"/>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3" w:name="_Toc8818"/>
      <w:bookmarkStart w:id="64" w:name="_Toc14560"/>
      <w:r>
        <w:rPr>
          <w:rFonts w:hint="eastAsia"/>
          <w:color w:val="auto"/>
          <w:highlight w:val="none"/>
        </w:rPr>
        <w:t>附件2               投  标  书（格式）</w:t>
      </w:r>
      <w:bookmarkEnd w:id="63"/>
      <w:bookmarkEnd w:id="64"/>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w:t>
      </w:r>
      <w:r>
        <w:rPr>
          <w:rFonts w:hint="eastAsia" w:ascii="宋体" w:hAnsi="宋体" w:cs="宋体"/>
          <w:color w:val="auto"/>
          <w:kern w:val="0"/>
          <w:szCs w:val="21"/>
          <w:highlight w:val="none"/>
          <w:u w:val="single"/>
          <w:lang w:eastAsia="zh-CN"/>
        </w:rPr>
        <w:t>供应商</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w:t>
      </w:r>
      <w:r>
        <w:rPr>
          <w:rFonts w:hint="eastAsia" w:ascii="宋体" w:hAnsi="宋体" w:cs="宋体"/>
          <w:color w:val="auto"/>
          <w:kern w:val="0"/>
          <w:szCs w:val="21"/>
          <w:highlight w:val="none"/>
          <w:lang w:eastAsia="zh-CN"/>
        </w:rPr>
        <w:t>磋商小组</w:t>
      </w:r>
      <w:r>
        <w:rPr>
          <w:rFonts w:hint="eastAsia" w:ascii="宋体" w:hAnsi="宋体" w:cs="宋体"/>
          <w:color w:val="auto"/>
          <w:kern w:val="0"/>
          <w:szCs w:val="21"/>
          <w:highlight w:val="none"/>
        </w:rPr>
        <w:t>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w:t>
      </w:r>
      <w:r>
        <w:rPr>
          <w:rFonts w:hint="eastAsia" w:ascii="宋体" w:hAnsi="宋体" w:cs="宋体"/>
          <w:color w:val="auto"/>
          <w:kern w:val="0"/>
          <w:szCs w:val="21"/>
          <w:highlight w:val="none"/>
          <w:lang w:eastAsia="zh-CN"/>
        </w:rPr>
        <w:t>成交通知书</w:t>
      </w:r>
      <w:r>
        <w:rPr>
          <w:rFonts w:hint="eastAsia" w:ascii="宋体" w:hAnsi="宋体" w:cs="宋体"/>
          <w:color w:val="auto"/>
          <w:kern w:val="0"/>
          <w:szCs w:val="21"/>
          <w:highlight w:val="none"/>
        </w:rPr>
        <w:t>之日起</w:t>
      </w:r>
      <w:r>
        <w:rPr>
          <w:rFonts w:hint="eastAsia" w:ascii="宋体" w:hAnsi="宋体" w:cs="宋体"/>
          <w:color w:val="auto"/>
          <w:kern w:val="0"/>
          <w:szCs w:val="21"/>
          <w:highlight w:val="none"/>
          <w:u w:val="single"/>
          <w:lang w:val="en-US" w:eastAsia="zh-CN"/>
        </w:rPr>
        <w:t xml:space="preserve"> 30  </w:t>
      </w:r>
      <w:r>
        <w:rPr>
          <w:rFonts w:hint="eastAsia" w:ascii="宋体" w:hAnsi="宋体" w:cs="宋体"/>
          <w:color w:val="auto"/>
          <w:kern w:val="0"/>
          <w:szCs w:val="21"/>
          <w:highlight w:val="none"/>
        </w:rPr>
        <w:t>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w:t>
      </w:r>
      <w:r>
        <w:rPr>
          <w:rFonts w:hint="eastAsia" w:ascii="宋体" w:hAnsi="宋体" w:cs="宋体"/>
          <w:color w:val="auto"/>
          <w:kern w:val="0"/>
          <w:szCs w:val="21"/>
          <w:highlight w:val="none"/>
          <w:lang w:val="en-US" w:eastAsia="zh-CN"/>
        </w:rPr>
        <w:t>或盖章</w:t>
      </w:r>
      <w:r>
        <w:rPr>
          <w:rFonts w:hint="eastAsia" w:ascii="宋体" w:hAnsi="宋体" w:cs="宋体"/>
          <w:color w:val="auto"/>
          <w:kern w:val="0"/>
          <w:szCs w:val="21"/>
          <w:highlight w:val="none"/>
        </w:rPr>
        <w:t xml:space="preserve">：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5" w:name="_Toc7838"/>
      <w:r>
        <w:rPr>
          <w:rFonts w:hint="eastAsia"/>
          <w:color w:val="auto"/>
          <w:highlight w:val="none"/>
        </w:rPr>
        <w:t>附件3               开标一览表</w:t>
      </w:r>
      <w:bookmarkEnd w:id="65"/>
    </w:p>
    <w:p>
      <w:pPr>
        <w:spacing w:line="239" w:lineRule="auto"/>
        <w:jc w:val="right"/>
        <w:rPr>
          <w:rFonts w:hint="default" w:ascii="宋体" w:hAnsi="宋体"/>
          <w:color w:val="auto"/>
          <w:sz w:val="24"/>
          <w:highlight w:val="none"/>
          <w:lang w:val="en-US"/>
        </w:rPr>
      </w:pPr>
      <w:r>
        <w:rPr>
          <w:rFonts w:ascii="宋体" w:hAnsi="宋体"/>
          <w:color w:val="auto"/>
          <w:sz w:val="24"/>
          <w:highlight w:val="none"/>
        </w:rPr>
        <w:t>单位：人民币</w:t>
      </w:r>
      <w:r>
        <w:rPr>
          <w:rFonts w:hint="eastAsia"/>
          <w:sz w:val="24"/>
          <w:lang w:val="en-US" w:eastAsia="zh-CN"/>
        </w:rPr>
        <w:t>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 xml:space="preserve">大写：        </w:t>
            </w:r>
          </w:p>
          <w:p>
            <w:pP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小写：       </w:t>
            </w:r>
            <w:r>
              <w:rPr>
                <w:rFonts w:hint="eastAsia" w:ascii="宋体" w:hAnsi="宋体"/>
                <w:color w:val="auto"/>
                <w:sz w:val="21"/>
                <w:szCs w:val="21"/>
                <w:highlight w:val="none"/>
                <w:lang w:val="en-US" w:eastAsia="zh-CN"/>
              </w:rPr>
              <w:t xml:space="preserve"> </w:t>
            </w:r>
            <w:r>
              <w:rPr>
                <w:rFonts w:hint="eastAsia"/>
                <w:sz w:val="21"/>
                <w:szCs w:val="21"/>
                <w:lang w:val="en-US" w:eastAsia="zh-CN"/>
              </w:rPr>
              <w:t>元</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lang w:val="en-US" w:eastAsia="zh-CN"/>
                <w14:textFill>
                  <w14:solidFill>
                    <w14:schemeClr w14:val="tx1"/>
                  </w14:solidFill>
                </w14:textFill>
              </w:rPr>
              <w:t>服务期限</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color w:val="auto"/>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按格式填列，不得自行更改。否则引起的不利后果由</w:t>
      </w:r>
      <w:r>
        <w:rPr>
          <w:rFonts w:hint="eastAsia" w:ascii="宋体" w:hAnsi="宋体" w:cs="宋体"/>
          <w:color w:val="auto"/>
          <w:kern w:val="0"/>
          <w:szCs w:val="21"/>
          <w:highlight w:val="none"/>
          <w:lang w:eastAsia="zh-CN"/>
        </w:rPr>
        <w:t>供应商</w:t>
      </w:r>
      <w:r>
        <w:rPr>
          <w:rFonts w:hint="eastAsia" w:ascii="宋体" w:hAnsi="宋体" w:cs="宋体"/>
          <w:color w:val="auto"/>
          <w:kern w:val="0"/>
          <w:szCs w:val="21"/>
          <w:highlight w:val="none"/>
        </w:rPr>
        <w:t>承担。</w:t>
      </w:r>
    </w:p>
    <w:p>
      <w:pPr>
        <w:spacing w:line="360" w:lineRule="auto"/>
        <w:ind w:firstLine="420" w:firstLineChars="200"/>
        <w:jc w:val="center"/>
        <w:rPr>
          <w:rFonts w:ascii="宋体" w:hAnsi="宋体"/>
          <w:color w:val="auto"/>
          <w:szCs w:val="21"/>
          <w:highlight w:val="none"/>
        </w:rPr>
      </w:pPr>
      <w:bookmarkStart w:id="66" w:name="_Toc11620"/>
      <w:bookmarkStart w:id="67" w:name="_Toc20877"/>
      <w:r>
        <w:rPr>
          <w:rFonts w:hint="eastAsia" w:ascii="宋体" w:hAnsi="宋体"/>
          <w:color w:val="auto"/>
          <w:szCs w:val="21"/>
          <w:highlight w:val="none"/>
          <w:lang w:eastAsia="zh-CN"/>
        </w:rPr>
        <w:t>供应商</w:t>
      </w:r>
      <w:r>
        <w:rPr>
          <w:rFonts w:hint="eastAsia" w:ascii="宋体" w:hAnsi="宋体"/>
          <w:color w:val="auto"/>
          <w:szCs w:val="21"/>
          <w:highlight w:val="none"/>
        </w:rPr>
        <w:t>（全称并加盖公章）：</w:t>
      </w:r>
      <w:bookmarkEnd w:id="66"/>
      <w:bookmarkEnd w:id="67"/>
    </w:p>
    <w:p>
      <w:pPr>
        <w:spacing w:line="360" w:lineRule="auto"/>
        <w:ind w:firstLine="420" w:firstLineChars="200"/>
        <w:jc w:val="center"/>
        <w:rPr>
          <w:rFonts w:ascii="宋体" w:hAnsi="宋体"/>
          <w:color w:val="auto"/>
          <w:szCs w:val="21"/>
          <w:highlight w:val="none"/>
          <w:u w:val="single"/>
        </w:rPr>
      </w:pPr>
      <w:bookmarkStart w:id="68" w:name="_Toc625"/>
      <w:bookmarkStart w:id="69" w:name="_Toc12222"/>
      <w:r>
        <w:rPr>
          <w:rFonts w:hint="eastAsia" w:ascii="宋体" w:hAnsi="宋体"/>
          <w:color w:val="auto"/>
          <w:szCs w:val="21"/>
          <w:highlight w:val="none"/>
        </w:rPr>
        <w:t>法定代表人或其委托代理人（签字</w:t>
      </w:r>
      <w:r>
        <w:rPr>
          <w:rFonts w:hint="eastAsia" w:ascii="宋体" w:hAnsi="宋体" w:cs="宋体"/>
          <w:color w:val="auto"/>
          <w:kern w:val="0"/>
          <w:szCs w:val="21"/>
          <w:highlight w:val="none"/>
          <w:lang w:val="en-US" w:eastAsia="zh-CN"/>
        </w:rPr>
        <w:t>或盖章</w:t>
      </w:r>
      <w:r>
        <w:rPr>
          <w:rFonts w:hint="eastAsia" w:ascii="宋体" w:hAnsi="宋体"/>
          <w:color w:val="auto"/>
          <w:szCs w:val="21"/>
          <w:highlight w:val="none"/>
        </w:rPr>
        <w:t>）：</w:t>
      </w:r>
      <w:bookmarkEnd w:id="68"/>
      <w:bookmarkEnd w:id="69"/>
    </w:p>
    <w:p>
      <w:pPr>
        <w:jc w:val="center"/>
        <w:rPr>
          <w:rFonts w:ascii="宋体" w:hAnsi="宋体"/>
          <w:color w:val="auto"/>
          <w:szCs w:val="21"/>
          <w:highlight w:val="none"/>
        </w:rPr>
      </w:pPr>
    </w:p>
    <w:p>
      <w:pPr>
        <w:spacing w:line="360" w:lineRule="auto"/>
        <w:ind w:firstLine="420" w:firstLineChars="200"/>
        <w:jc w:val="center"/>
        <w:rPr>
          <w:color w:val="auto"/>
          <w:highlight w:val="none"/>
        </w:rPr>
      </w:pPr>
      <w:bookmarkStart w:id="70" w:name="_Toc9950"/>
      <w:bookmarkStart w:id="71" w:name="_Toc1330"/>
      <w:r>
        <w:rPr>
          <w:rFonts w:hint="eastAsia" w:ascii="宋体" w:hAnsi="宋体"/>
          <w:color w:val="auto"/>
          <w:szCs w:val="21"/>
          <w:highlight w:val="none"/>
        </w:rPr>
        <w:t>年  月  日</w:t>
      </w:r>
      <w:bookmarkEnd w:id="70"/>
      <w:bookmarkEnd w:id="71"/>
    </w:p>
    <w:p>
      <w:pPr>
        <w:rPr>
          <w:color w:val="auto"/>
          <w:highlight w:val="none"/>
        </w:rPr>
      </w:pPr>
    </w:p>
    <w:bookmarkEnd w:id="46"/>
    <w:bookmarkEnd w:id="47"/>
    <w:p>
      <w:pPr>
        <w:spacing w:before="20" w:after="20"/>
        <w:outlineLvl w:val="9"/>
        <w:rPr>
          <w:rFonts w:hint="eastAsia" w:eastAsia="黑体"/>
          <w:color w:val="000000" w:themeColor="text1"/>
          <w:highlight w:val="none"/>
          <w:lang w:eastAsia="zh-CN"/>
          <w14:textFill>
            <w14:solidFill>
              <w14:schemeClr w14:val="tx1"/>
            </w14:solidFill>
          </w14:textFill>
        </w:rPr>
      </w:pPr>
      <w:bookmarkStart w:id="72" w:name="_Toc24984"/>
      <w:bookmarkStart w:id="73" w:name="_Toc22004"/>
    </w:p>
    <w:p>
      <w:pPr>
        <w:outlineLvl w:val="9"/>
        <w:rPr>
          <w:rFonts w:hint="eastAsia"/>
          <w:lang w:eastAsia="zh-CN"/>
        </w:rPr>
      </w:pPr>
    </w:p>
    <w:p>
      <w:pPr>
        <w:rPr>
          <w:rFonts w:hint="eastAsia"/>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br w:type="page"/>
      </w:r>
    </w:p>
    <w:p>
      <w:pPr>
        <w:pStyle w:val="5"/>
        <w:spacing w:before="20" w:after="20"/>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附件4               </w:t>
      </w:r>
      <w:bookmarkEnd w:id="72"/>
      <w:bookmarkEnd w:id="73"/>
      <w:r>
        <w:rPr>
          <w:rFonts w:hint="eastAsia"/>
          <w:color w:val="000000" w:themeColor="text1"/>
          <w:highlight w:val="none"/>
          <w14:textFill>
            <w14:solidFill>
              <w14:schemeClr w14:val="tx1"/>
            </w14:solidFill>
          </w14:textFill>
        </w:rPr>
        <w:t>报价明细表</w:t>
      </w:r>
    </w:p>
    <w:p>
      <w:pPr>
        <w:widowControl/>
        <w:wordWrap w:val="0"/>
        <w:snapToGrid w:val="0"/>
        <w:spacing w:before="50" w:after="50"/>
        <w:ind w:left="88" w:leftChars="42" w:right="-817" w:rightChars="-389" w:firstLine="4161" w:firstLineChars="1734"/>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2"/>
        <w:tblW w:w="9205" w:type="dxa"/>
        <w:tblInd w:w="1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017"/>
        <w:gridCol w:w="1516"/>
        <w:gridCol w:w="1541"/>
        <w:gridCol w:w="1198"/>
        <w:gridCol w:w="1117"/>
        <w:gridCol w:w="9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0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0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19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1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金额</w:t>
            </w:r>
          </w:p>
        </w:tc>
        <w:tc>
          <w:tcPr>
            <w:tcW w:w="9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0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20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 xml:space="preserve">…… </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9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1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9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72"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val="en-US" w:eastAsia="zh-CN"/>
                <w14:textFill>
                  <w14:solidFill>
                    <w14:schemeClr w14:val="tx1"/>
                  </w14:solidFill>
                </w14:textFill>
              </w:rPr>
              <w:t>总</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p>
        </w:tc>
        <w:tc>
          <w:tcPr>
            <w:tcW w:w="1117"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p>
        </w:tc>
        <w:tc>
          <w:tcPr>
            <w:tcW w:w="916"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kern w:val="0"/>
                <w:sz w:val="24"/>
                <w:szCs w:val="21"/>
                <w:highlight w:val="none"/>
                <w14:textFill>
                  <w14:solidFill>
                    <w14:schemeClr w14:val="tx1"/>
                  </w14:solidFill>
                </w14:textFill>
              </w:rPr>
            </w:pP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shd w:val="clear" w:color="auto" w:fill="FFFFFF"/>
        <w:spacing w:line="360" w:lineRule="auto"/>
        <w:ind w:left="1418" w:hanging="567"/>
        <w:jc w:val="both"/>
        <w:rPr>
          <w:rFonts w:hint="eastAsia" w:ascii="宋体" w:hAnsi="宋体" w:cs="宋体"/>
          <w:color w:val="auto"/>
          <w:kern w:val="0"/>
          <w:sz w:val="24"/>
        </w:rPr>
      </w:pPr>
    </w:p>
    <w:p>
      <w:pPr>
        <w:pStyle w:val="30"/>
        <w:rPr>
          <w:rFonts w:hint="eastAsia"/>
        </w:rPr>
      </w:pPr>
    </w:p>
    <w:p>
      <w:pPr>
        <w:widowControl/>
        <w:shd w:val="clear" w:color="auto" w:fill="FFFFFF"/>
        <w:spacing w:line="360" w:lineRule="auto"/>
        <w:ind w:left="1418" w:hanging="567"/>
        <w:jc w:val="both"/>
        <w:rPr>
          <w:rFonts w:hint="eastAsia" w:ascii="宋体" w:hAnsi="宋体" w:cs="宋体"/>
          <w:color w:val="auto"/>
          <w:kern w:val="0"/>
          <w:sz w:val="24"/>
        </w:rPr>
      </w:pPr>
      <w:r>
        <w:rPr>
          <w:rFonts w:hint="eastAsia" w:ascii="宋体" w:hAnsi="宋体" w:cs="宋体"/>
          <w:color w:val="auto"/>
          <w:kern w:val="0"/>
          <w:sz w:val="24"/>
        </w:rPr>
        <w:t>供应商法定代表人</w:t>
      </w:r>
      <w:r>
        <w:rPr>
          <w:rFonts w:hint="eastAsia" w:ascii="宋体" w:hAnsi="宋体" w:cs="宋体"/>
          <w:color w:val="auto"/>
          <w:kern w:val="0"/>
          <w:sz w:val="24"/>
          <w:lang w:eastAsia="zh-CN"/>
        </w:rPr>
        <w:t>或</w:t>
      </w:r>
      <w:r>
        <w:rPr>
          <w:rFonts w:hint="eastAsia" w:ascii="宋体" w:hAnsi="宋体" w:cs="宋体"/>
          <w:color w:val="auto"/>
          <w:kern w:val="0"/>
          <w:sz w:val="24"/>
        </w:rPr>
        <w:t>其授权代表签字：</w:t>
      </w:r>
      <w:r>
        <w:rPr>
          <w:rFonts w:hint="eastAsia" w:ascii="宋体" w:hAnsi="宋体" w:cs="宋体"/>
          <w:color w:val="auto"/>
          <w:kern w:val="0"/>
          <w:sz w:val="24"/>
          <w:u w:val="single"/>
        </w:rPr>
        <w:t xml:space="preserve">              </w:t>
      </w:r>
    </w:p>
    <w:p>
      <w:pPr>
        <w:widowControl/>
        <w:shd w:val="clear" w:color="auto" w:fill="FFFFFF"/>
        <w:spacing w:line="360" w:lineRule="auto"/>
        <w:jc w:val="left"/>
        <w:rPr>
          <w:rFonts w:ascii="宋体" w:hAnsi="宋体" w:cs="宋体"/>
          <w:color w:val="auto"/>
          <w:kern w:val="0"/>
          <w:sz w:val="24"/>
          <w:highlight w:val="none"/>
        </w:rPr>
      </w:pPr>
      <w:r>
        <w:rPr>
          <w:rFonts w:hint="eastAsia" w:ascii="宋体" w:hAnsi="宋体" w:cs="宋体"/>
          <w:color w:val="auto"/>
          <w:kern w:val="0"/>
          <w:sz w:val="24"/>
        </w:rPr>
        <w:t xml:space="preserve">              供应商名称： </w:t>
      </w:r>
      <w:r>
        <w:rPr>
          <w:rFonts w:hint="eastAsia" w:ascii="宋体" w:hAnsi="宋体" w:cs="宋体"/>
          <w:color w:val="auto"/>
          <w:kern w:val="0"/>
          <w:sz w:val="24"/>
          <w:u w:val="single"/>
        </w:rPr>
        <w:t xml:space="preserve">               </w:t>
      </w:r>
      <w:r>
        <w:rPr>
          <w:rFonts w:hint="eastAsia" w:ascii="宋体" w:hAnsi="宋体" w:cs="宋体"/>
          <w:color w:val="auto"/>
          <w:kern w:val="0"/>
          <w:sz w:val="24"/>
        </w:rPr>
        <w:t>（全称并加盖公章）</w:t>
      </w:r>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2880" w:firstLineChars="1200"/>
        <w:jc w:val="left"/>
        <w:rPr>
          <w:color w:val="auto"/>
          <w:highlight w:val="none"/>
        </w:rPr>
      </w:pPr>
      <w:r>
        <w:rPr>
          <w:rFonts w:hint="eastAsia" w:ascii="宋体" w:hAnsi="宋体" w:cs="宋体"/>
          <w:color w:val="auto"/>
          <w:kern w:val="0"/>
          <w:sz w:val="24"/>
          <w:highlight w:val="none"/>
        </w:rPr>
        <w:t>年    月    日</w:t>
      </w:r>
    </w:p>
    <w:p>
      <w:pPr>
        <w:widowControl/>
        <w:wordWrap w:val="0"/>
        <w:spacing w:line="460" w:lineRule="exact"/>
        <w:ind w:firstLine="4800" w:firstLineChars="2000"/>
        <w:jc w:val="left"/>
        <w:rPr>
          <w:color w:val="auto"/>
          <w:highlight w:val="none"/>
        </w:rPr>
      </w:pPr>
      <w:r>
        <w:rPr>
          <w:rFonts w:hint="eastAsia" w:ascii="宋体" w:hAnsi="宋体" w:cs="宋体"/>
          <w:color w:val="000000" w:themeColor="text1"/>
          <w:kern w:val="0"/>
          <w:sz w:val="24"/>
          <w:highlight w:val="none"/>
          <w14:textFill>
            <w14:solidFill>
              <w14:schemeClr w14:val="tx1"/>
            </w14:solidFill>
          </w14:textFill>
        </w:rPr>
        <w:t xml:space="preserve">     </w:t>
      </w:r>
    </w:p>
    <w:p>
      <w:pPr>
        <w:pStyle w:val="5"/>
        <w:rPr>
          <w:rFonts w:hint="eastAsia" w:eastAsia="黑体"/>
          <w:color w:val="auto"/>
          <w:highlight w:val="none"/>
          <w:lang w:val="en-US" w:eastAsia="zh-CN"/>
        </w:rPr>
      </w:pPr>
      <w:r>
        <w:rPr>
          <w:rFonts w:hint="eastAsia"/>
          <w:color w:val="auto"/>
          <w:highlight w:val="none"/>
        </w:rPr>
        <w:br w:type="page"/>
      </w:r>
      <w:bookmarkStart w:id="74" w:name="_Toc226"/>
      <w:bookmarkStart w:id="75" w:name="_Toc15804"/>
      <w:r>
        <w:rPr>
          <w:rFonts w:hint="eastAsia"/>
          <w:color w:val="auto"/>
          <w:highlight w:val="none"/>
        </w:rPr>
        <w:t xml:space="preserve">附件5         </w:t>
      </w:r>
      <w:bookmarkEnd w:id="74"/>
      <w:bookmarkEnd w:id="75"/>
      <w:r>
        <w:rPr>
          <w:rFonts w:hint="eastAsia"/>
          <w:color w:val="auto"/>
          <w:highlight w:val="none"/>
        </w:rPr>
        <w:t xml:space="preserve">     技术响应</w:t>
      </w:r>
      <w:r>
        <w:rPr>
          <w:rFonts w:hint="eastAsia"/>
          <w:color w:val="auto"/>
          <w:highlight w:val="none"/>
          <w:lang w:val="en-US" w:eastAsia="zh-CN"/>
        </w:rPr>
        <w:t>部分</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lang w:eastAsia="zh-CN"/>
              </w:rPr>
              <w:t>服务</w:t>
            </w:r>
            <w:r>
              <w:rPr>
                <w:rFonts w:hint="eastAsia"/>
                <w:color w:val="auto"/>
                <w:sz w:val="24"/>
                <w:highlight w:val="none"/>
              </w:rPr>
              <w:t>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2"/>
        <w:rPr>
          <w:bCs/>
          <w:color w:val="auto"/>
          <w:kern w:val="0"/>
          <w:highlight w:val="none"/>
        </w:rPr>
      </w:pPr>
    </w:p>
    <w:p>
      <w:pPr>
        <w:pStyle w:val="52"/>
        <w:rPr>
          <w:bCs/>
          <w:color w:val="auto"/>
          <w:kern w:val="0"/>
          <w:highlight w:val="none"/>
        </w:rPr>
      </w:pPr>
    </w:p>
    <w:p>
      <w:pPr>
        <w:pStyle w:val="52"/>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hint="eastAsia" w:ascii="宋体" w:hAnsi="宋体" w:eastAsia="宋体" w:cs="宋体"/>
          <w:color w:val="auto"/>
          <w:kern w:val="0"/>
          <w:sz w:val="24"/>
          <w:highlight w:val="none"/>
          <w:u w:val="single"/>
          <w:lang w:eastAsia="zh-CN"/>
        </w:rPr>
      </w:pPr>
      <w:r>
        <w:rPr>
          <w:rFonts w:hint="eastAsia" w:ascii="宋体" w:hAnsi="宋体" w:cs="宋体"/>
          <w:b/>
          <w:color w:val="auto"/>
          <w:kern w:val="0"/>
          <w:sz w:val="24"/>
          <w:highlight w:val="none"/>
        </w:rPr>
        <w:br w:type="page"/>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6" w:name="_Toc29960"/>
      <w:bookmarkStart w:id="77" w:name="_Toc20420"/>
      <w:bookmarkStart w:id="78" w:name="_Toc24168"/>
      <w:r>
        <w:rPr>
          <w:rFonts w:hint="eastAsia" w:ascii="Arial" w:hAnsi="Arial" w:eastAsia="新宋体"/>
          <w:b/>
          <w:color w:val="auto"/>
          <w:sz w:val="28"/>
          <w:highlight w:val="none"/>
        </w:rPr>
        <w:t>附件6               商务响应</w:t>
      </w:r>
      <w:bookmarkEnd w:id="76"/>
      <w:bookmarkEnd w:id="77"/>
      <w:r>
        <w:rPr>
          <w:rFonts w:hint="eastAsia" w:ascii="Arial" w:hAnsi="Arial" w:eastAsia="新宋体"/>
          <w:b/>
          <w:color w:val="auto"/>
          <w:sz w:val="28"/>
          <w:highlight w:val="none"/>
          <w:lang w:val="en-US" w:eastAsia="zh-CN"/>
        </w:rPr>
        <w:t>部分</w:t>
      </w:r>
      <w:bookmarkEnd w:id="78"/>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0"/>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outlineLvl w:val="9"/>
      </w:pPr>
    </w:p>
    <w:p>
      <w:pPr>
        <w:rPr>
          <w:rFonts w:hint="eastAsia" w:ascii="Arial" w:hAnsi="Arial" w:eastAsia="新宋体"/>
          <w:b/>
          <w:color w:val="auto"/>
          <w:sz w:val="28"/>
          <w:highlight w:val="none"/>
        </w:rPr>
      </w:pPr>
      <w:bookmarkStart w:id="79" w:name="_Toc31526"/>
      <w:bookmarkStart w:id="80" w:name="_Toc28621"/>
      <w:r>
        <w:rPr>
          <w:rFonts w:hint="eastAsia" w:ascii="Arial" w:hAnsi="Arial" w:eastAsia="新宋体"/>
          <w:b/>
          <w:color w:val="auto"/>
          <w:sz w:val="28"/>
          <w:highlight w:val="none"/>
        </w:rPr>
        <w:br w:type="page"/>
      </w:r>
    </w:p>
    <w:p>
      <w:pPr>
        <w:widowControl/>
        <w:wordWrap w:val="0"/>
        <w:spacing w:line="460" w:lineRule="exact"/>
        <w:jc w:val="left"/>
        <w:outlineLvl w:val="0"/>
        <w:rPr>
          <w:rFonts w:ascii="Arial" w:hAnsi="Arial" w:eastAsia="新宋体"/>
          <w:b/>
          <w:color w:val="auto"/>
          <w:sz w:val="28"/>
          <w:highlight w:val="none"/>
        </w:rPr>
      </w:pPr>
      <w:bookmarkStart w:id="81" w:name="_Toc29406"/>
      <w:r>
        <w:rPr>
          <w:rFonts w:hint="eastAsia" w:ascii="Arial" w:hAnsi="Arial" w:eastAsia="新宋体"/>
          <w:b/>
          <w:color w:val="auto"/>
          <w:sz w:val="28"/>
          <w:highlight w:val="none"/>
        </w:rPr>
        <w:t>附件7               法定代表人身份证明（格式）</w:t>
      </w:r>
      <w:bookmarkEnd w:id="79"/>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w:t>
      </w:r>
      <w:r>
        <w:rPr>
          <w:rFonts w:hint="eastAsia" w:ascii="宋体" w:hAnsi="宋体" w:cs="宋体"/>
          <w:color w:val="auto"/>
          <w:kern w:val="0"/>
          <w:sz w:val="24"/>
          <w:szCs w:val="20"/>
          <w:highlight w:val="none"/>
          <w:lang w:eastAsia="zh-CN"/>
        </w:rPr>
        <w:t>供应商</w:t>
      </w:r>
      <w:r>
        <w:rPr>
          <w:rFonts w:hint="eastAsia" w:ascii="宋体" w:hAnsi="宋体" w:cs="宋体"/>
          <w:color w:val="auto"/>
          <w:kern w:val="0"/>
          <w:sz w:val="24"/>
          <w:szCs w:val="20"/>
          <w:highlight w:val="none"/>
        </w:rPr>
        <w:t>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12939"/>
      <w:bookmarkStart w:id="84" w:name="_Toc30519"/>
      <w:r>
        <w:rPr>
          <w:rFonts w:hint="eastAsia" w:ascii="Arial" w:hAnsi="Arial" w:eastAsia="新宋体"/>
          <w:b/>
          <w:color w:val="auto"/>
          <w:sz w:val="28"/>
          <w:highlight w:val="none"/>
        </w:rPr>
        <w:t>附件8               法定代表人授权书（格式）</w:t>
      </w:r>
      <w:bookmarkEnd w:id="82"/>
      <w:bookmarkEnd w:id="83"/>
      <w:bookmarkEnd w:id="84"/>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 xml:space="preserve">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lang w:eastAsia="zh-CN"/>
        </w:rPr>
        <w:t>供应商</w:t>
      </w:r>
      <w:r>
        <w:rPr>
          <w:rFonts w:hint="eastAsia" w:ascii="宋体" w:hAnsi="宋体" w:cs="宋体"/>
          <w:color w:val="auto"/>
          <w:kern w:val="0"/>
          <w:sz w:val="24"/>
          <w:highlight w:val="none"/>
        </w:rPr>
        <w:t>：</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5" w:name="_Toc18105"/>
      <w:bookmarkStart w:id="86" w:name="_Toc3342"/>
      <w:bookmarkStart w:id="87" w:name="_Toc24693"/>
      <w:r>
        <w:rPr>
          <w:rFonts w:hint="eastAsia" w:ascii="Arial" w:hAnsi="Arial" w:eastAsia="新宋体"/>
          <w:b/>
          <w:color w:val="auto"/>
          <w:sz w:val="28"/>
          <w:highlight w:val="none"/>
        </w:rPr>
        <w:t>附件9               证明文件</w:t>
      </w:r>
      <w:bookmarkEnd w:id="85"/>
      <w:bookmarkEnd w:id="86"/>
      <w:bookmarkEnd w:id="87"/>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8"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9" w:name="_Toc16083"/>
      <w:bookmarkStart w:id="90" w:name="_Toc13726"/>
      <w:bookmarkStart w:id="91" w:name="_Toc12888"/>
      <w:r>
        <w:rPr>
          <w:rFonts w:hint="eastAsia" w:ascii="宋体" w:hAnsi="宋体" w:cs="Lucida Sans Unicode"/>
          <w:b/>
          <w:color w:val="auto"/>
          <w:kern w:val="0"/>
          <w:sz w:val="28"/>
          <w:szCs w:val="28"/>
          <w:highlight w:val="none"/>
        </w:rPr>
        <w:t xml:space="preserve">附件10        </w:t>
      </w:r>
      <w:bookmarkEnd w:id="8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9"/>
      <w:bookmarkEnd w:id="90"/>
      <w:bookmarkEnd w:id="91"/>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cs="宋体"/>
          <w:sz w:val="24"/>
          <w:szCs w:val="24"/>
          <w:lang w:eastAsia="zh-CN"/>
        </w:rPr>
        <w:t>供应商</w:t>
      </w:r>
      <w:r>
        <w:rPr>
          <w:rFonts w:hint="eastAsia" w:ascii="宋体" w:hAnsi="宋体" w:eastAsia="宋体" w:cs="宋体"/>
          <w:sz w:val="24"/>
          <w:szCs w:val="24"/>
        </w:rPr>
        <w:t>（</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pStyle w:val="30"/>
        <w:rPr>
          <w:rFonts w:ascii="宋体" w:hAnsi="宋体" w:cs="宋体"/>
          <w:color w:val="auto"/>
          <w:kern w:val="0"/>
          <w:szCs w:val="21"/>
          <w:highlight w:val="none"/>
        </w:rPr>
      </w:pPr>
    </w:p>
    <w:p>
      <w:pPr>
        <w:pStyle w:val="31"/>
        <w:rPr>
          <w:rFonts w:ascii="宋体" w:hAnsi="宋体" w:cs="宋体"/>
          <w:color w:val="auto"/>
          <w:kern w:val="0"/>
          <w:szCs w:val="21"/>
          <w:highlight w:val="none"/>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
      <w:pPr>
        <w:spacing w:line="360" w:lineRule="auto"/>
        <w:rPr>
          <w:color w:val="auto"/>
          <w:highlight w:val="none"/>
        </w:rPr>
      </w:pPr>
    </w:p>
    <w:p>
      <w:pPr>
        <w:rPr>
          <w:color w:val="auto"/>
          <w:highlight w:val="none"/>
        </w:rPr>
      </w:pPr>
      <w:r>
        <w:rPr>
          <w:color w:val="auto"/>
          <w:highlight w:val="none"/>
        </w:rPr>
        <w:br w:type="page"/>
      </w:r>
    </w:p>
    <w:p>
      <w:pPr>
        <w:pStyle w:val="49"/>
      </w:pPr>
    </w:p>
    <w:p>
      <w:pPr>
        <w:widowControl/>
        <w:snapToGrid w:val="0"/>
        <w:spacing w:line="360" w:lineRule="auto"/>
        <w:jc w:val="center"/>
        <w:outlineLvl w:val="0"/>
        <w:rPr>
          <w:rFonts w:ascii="宋体" w:hAnsi="宋体" w:cs="Lucida Sans Unicode"/>
          <w:b/>
          <w:color w:val="auto"/>
          <w:kern w:val="0"/>
          <w:sz w:val="24"/>
          <w:highlight w:val="none"/>
        </w:rPr>
      </w:pPr>
      <w:bookmarkStart w:id="92" w:name="_Toc23394"/>
      <w:bookmarkStart w:id="93" w:name="_Toc31685"/>
      <w:bookmarkStart w:id="94" w:name="_Toc25094"/>
      <w:r>
        <w:rPr>
          <w:rFonts w:hint="eastAsia" w:ascii="宋体" w:hAnsi="宋体" w:cs="Lucida Sans Unicode"/>
          <w:b/>
          <w:color w:val="auto"/>
          <w:kern w:val="0"/>
          <w:sz w:val="24"/>
          <w:highlight w:val="none"/>
          <w:lang w:eastAsia="zh-CN"/>
        </w:rPr>
        <w:t>供应商</w:t>
      </w:r>
      <w:r>
        <w:rPr>
          <w:rFonts w:hint="eastAsia" w:ascii="宋体" w:hAnsi="宋体" w:cs="Lucida Sans Unicode"/>
          <w:b/>
          <w:color w:val="auto"/>
          <w:kern w:val="0"/>
          <w:sz w:val="24"/>
          <w:highlight w:val="none"/>
        </w:rPr>
        <w:t>认为有必要的其他资料</w:t>
      </w:r>
      <w:bookmarkEnd w:id="92"/>
      <w:bookmarkEnd w:id="93"/>
      <w:bookmarkEnd w:id="94"/>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w:t>
      </w:r>
      <w:r>
        <w:rPr>
          <w:rFonts w:hint="eastAsia" w:ascii="宋体" w:hAnsi="宋体" w:cs="Lucida Sans Unicode"/>
          <w:color w:val="auto"/>
          <w:kern w:val="0"/>
          <w:szCs w:val="21"/>
          <w:highlight w:val="none"/>
          <w:lang w:eastAsia="zh-CN"/>
        </w:rPr>
        <w:t>供应商</w:t>
      </w:r>
      <w:r>
        <w:rPr>
          <w:rFonts w:hint="eastAsia" w:ascii="宋体" w:hAnsi="宋体" w:cs="Lucida Sans Unicode"/>
          <w:color w:val="auto"/>
          <w:kern w:val="0"/>
          <w:szCs w:val="21"/>
          <w:highlight w:val="none"/>
        </w:rPr>
        <w:t>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footerReference r:id="rId5"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hint="eastAsia"/>
      </w:rPr>
    </w:pPr>
    <w:r>
      <w:rPr>
        <w:rFonts w:hint="eastAsia" w:ascii="宋体" w:hAnsi="宋体" w:cs="宋体"/>
        <w:color w:val="auto"/>
        <w:szCs w:val="21"/>
        <w:highlight w:val="none"/>
        <w:shd w:val="clear" w:color="auto" w:fill="FFFFFF"/>
        <w:lang w:val="en-US" w:eastAsia="zh-CN"/>
      </w:rPr>
      <w:t>驻马店市中心医院飞利浦3.0T磁共振技术保项目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A954FB"/>
    <w:multiLevelType w:val="singleLevel"/>
    <w:tmpl w:val="E8A954FB"/>
    <w:lvl w:ilvl="0" w:tentative="0">
      <w:start w:val="1"/>
      <w:numFmt w:val="decimal"/>
      <w:suff w:val="nothing"/>
      <w:lvlText w:val="%1、"/>
      <w:lvlJc w:val="left"/>
    </w:lvl>
  </w:abstractNum>
  <w:abstractNum w:abstractNumId="1">
    <w:nsid w:val="59B6410A"/>
    <w:multiLevelType w:val="singleLevel"/>
    <w:tmpl w:val="59B641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5888"/>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28E"/>
    <w:rsid w:val="00FF3BCD"/>
    <w:rsid w:val="00FF5B28"/>
    <w:rsid w:val="00FF7C18"/>
    <w:rsid w:val="01076050"/>
    <w:rsid w:val="010C3DC8"/>
    <w:rsid w:val="011E110B"/>
    <w:rsid w:val="01525212"/>
    <w:rsid w:val="01564054"/>
    <w:rsid w:val="015C0A67"/>
    <w:rsid w:val="017E6D95"/>
    <w:rsid w:val="01D715BE"/>
    <w:rsid w:val="01EB45BC"/>
    <w:rsid w:val="01F9035B"/>
    <w:rsid w:val="01FA63A5"/>
    <w:rsid w:val="02011C7D"/>
    <w:rsid w:val="02035523"/>
    <w:rsid w:val="021C6E40"/>
    <w:rsid w:val="02222FF2"/>
    <w:rsid w:val="02384FF4"/>
    <w:rsid w:val="023F67A9"/>
    <w:rsid w:val="0247575A"/>
    <w:rsid w:val="025235B1"/>
    <w:rsid w:val="0262674D"/>
    <w:rsid w:val="02747B01"/>
    <w:rsid w:val="02890D36"/>
    <w:rsid w:val="02D92EF7"/>
    <w:rsid w:val="02DA4665"/>
    <w:rsid w:val="02F40325"/>
    <w:rsid w:val="02FA082F"/>
    <w:rsid w:val="031126C4"/>
    <w:rsid w:val="03475E56"/>
    <w:rsid w:val="035E4919"/>
    <w:rsid w:val="036A009A"/>
    <w:rsid w:val="03844805"/>
    <w:rsid w:val="03845791"/>
    <w:rsid w:val="03A011E9"/>
    <w:rsid w:val="03AE7F27"/>
    <w:rsid w:val="03BD2BCD"/>
    <w:rsid w:val="03CC058D"/>
    <w:rsid w:val="03E017D2"/>
    <w:rsid w:val="03F447E2"/>
    <w:rsid w:val="03F77068"/>
    <w:rsid w:val="03FB660C"/>
    <w:rsid w:val="04416C20"/>
    <w:rsid w:val="047968B1"/>
    <w:rsid w:val="04870542"/>
    <w:rsid w:val="04B30F7A"/>
    <w:rsid w:val="050E236F"/>
    <w:rsid w:val="054C0111"/>
    <w:rsid w:val="05545DD3"/>
    <w:rsid w:val="056E2AD6"/>
    <w:rsid w:val="05806815"/>
    <w:rsid w:val="058251D3"/>
    <w:rsid w:val="058C28F1"/>
    <w:rsid w:val="05945CCE"/>
    <w:rsid w:val="059D05A4"/>
    <w:rsid w:val="059D5E17"/>
    <w:rsid w:val="05AB0A28"/>
    <w:rsid w:val="05AB0F81"/>
    <w:rsid w:val="05B93D6B"/>
    <w:rsid w:val="05C23EEE"/>
    <w:rsid w:val="05D53002"/>
    <w:rsid w:val="05D75738"/>
    <w:rsid w:val="05EB110D"/>
    <w:rsid w:val="05F17CC7"/>
    <w:rsid w:val="061E7D14"/>
    <w:rsid w:val="06446B44"/>
    <w:rsid w:val="06560AED"/>
    <w:rsid w:val="066469C9"/>
    <w:rsid w:val="066646A1"/>
    <w:rsid w:val="06983B20"/>
    <w:rsid w:val="069A3B66"/>
    <w:rsid w:val="06A869D6"/>
    <w:rsid w:val="06A9264E"/>
    <w:rsid w:val="06B31420"/>
    <w:rsid w:val="06B91765"/>
    <w:rsid w:val="06CA2AD2"/>
    <w:rsid w:val="06CE3071"/>
    <w:rsid w:val="06D33DBA"/>
    <w:rsid w:val="06E13F9F"/>
    <w:rsid w:val="06FB0AC5"/>
    <w:rsid w:val="070D2D5D"/>
    <w:rsid w:val="07111B8D"/>
    <w:rsid w:val="072C5514"/>
    <w:rsid w:val="0737768A"/>
    <w:rsid w:val="074A5B92"/>
    <w:rsid w:val="075D0147"/>
    <w:rsid w:val="075E3193"/>
    <w:rsid w:val="078E18EB"/>
    <w:rsid w:val="07B10EA5"/>
    <w:rsid w:val="07CE3FA1"/>
    <w:rsid w:val="07EC2ECB"/>
    <w:rsid w:val="07FE66CB"/>
    <w:rsid w:val="080B4D47"/>
    <w:rsid w:val="08321601"/>
    <w:rsid w:val="08326375"/>
    <w:rsid w:val="083D5C91"/>
    <w:rsid w:val="0847191F"/>
    <w:rsid w:val="08591DC3"/>
    <w:rsid w:val="08672793"/>
    <w:rsid w:val="08695E80"/>
    <w:rsid w:val="087C4541"/>
    <w:rsid w:val="087E5595"/>
    <w:rsid w:val="08BC0A60"/>
    <w:rsid w:val="08C52D6F"/>
    <w:rsid w:val="08EF0201"/>
    <w:rsid w:val="08F41DE8"/>
    <w:rsid w:val="094840A2"/>
    <w:rsid w:val="09737462"/>
    <w:rsid w:val="099156C3"/>
    <w:rsid w:val="09A53F39"/>
    <w:rsid w:val="09A60E13"/>
    <w:rsid w:val="09A82D92"/>
    <w:rsid w:val="09AB2883"/>
    <w:rsid w:val="09CD0A4B"/>
    <w:rsid w:val="09D206F0"/>
    <w:rsid w:val="0A321AC2"/>
    <w:rsid w:val="0A343D4E"/>
    <w:rsid w:val="0A3E6D2E"/>
    <w:rsid w:val="0A4232E4"/>
    <w:rsid w:val="0A4F145F"/>
    <w:rsid w:val="0A8455AD"/>
    <w:rsid w:val="0AD13A85"/>
    <w:rsid w:val="0AE0655C"/>
    <w:rsid w:val="0B091954"/>
    <w:rsid w:val="0B1D7F3B"/>
    <w:rsid w:val="0B3B7D65"/>
    <w:rsid w:val="0B434C20"/>
    <w:rsid w:val="0B637D77"/>
    <w:rsid w:val="0B7006C4"/>
    <w:rsid w:val="0B726646"/>
    <w:rsid w:val="0BAC324F"/>
    <w:rsid w:val="0BC11EE9"/>
    <w:rsid w:val="0BF16C73"/>
    <w:rsid w:val="0BF72F1E"/>
    <w:rsid w:val="0C3152C1"/>
    <w:rsid w:val="0C3957A5"/>
    <w:rsid w:val="0C507E2F"/>
    <w:rsid w:val="0C626DA7"/>
    <w:rsid w:val="0C6876AE"/>
    <w:rsid w:val="0C71390F"/>
    <w:rsid w:val="0C720EC8"/>
    <w:rsid w:val="0C942042"/>
    <w:rsid w:val="0C9D50DC"/>
    <w:rsid w:val="0CA5271D"/>
    <w:rsid w:val="0CAC4D10"/>
    <w:rsid w:val="0CC72121"/>
    <w:rsid w:val="0CEE5A21"/>
    <w:rsid w:val="0D05268E"/>
    <w:rsid w:val="0D0646E7"/>
    <w:rsid w:val="0D0C38CA"/>
    <w:rsid w:val="0D206810"/>
    <w:rsid w:val="0D735465"/>
    <w:rsid w:val="0DC577E0"/>
    <w:rsid w:val="0DDC6319"/>
    <w:rsid w:val="0DFE4F67"/>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684933"/>
    <w:rsid w:val="0F821E7D"/>
    <w:rsid w:val="0FCA42ED"/>
    <w:rsid w:val="0FE7592C"/>
    <w:rsid w:val="0FFD20F0"/>
    <w:rsid w:val="103E6E57"/>
    <w:rsid w:val="1041497B"/>
    <w:rsid w:val="10425FF6"/>
    <w:rsid w:val="106612B1"/>
    <w:rsid w:val="109010E6"/>
    <w:rsid w:val="10B271F4"/>
    <w:rsid w:val="10B537CC"/>
    <w:rsid w:val="10C61D50"/>
    <w:rsid w:val="10C8275C"/>
    <w:rsid w:val="10C86D3B"/>
    <w:rsid w:val="10E03539"/>
    <w:rsid w:val="10E82D1F"/>
    <w:rsid w:val="10EE5C94"/>
    <w:rsid w:val="10F5757C"/>
    <w:rsid w:val="10F93ED3"/>
    <w:rsid w:val="113329E7"/>
    <w:rsid w:val="113F294C"/>
    <w:rsid w:val="11437C85"/>
    <w:rsid w:val="11575085"/>
    <w:rsid w:val="1166372C"/>
    <w:rsid w:val="11700D10"/>
    <w:rsid w:val="1178125A"/>
    <w:rsid w:val="118441E0"/>
    <w:rsid w:val="1196056D"/>
    <w:rsid w:val="11D34654"/>
    <w:rsid w:val="12010480"/>
    <w:rsid w:val="120E707F"/>
    <w:rsid w:val="121D0051"/>
    <w:rsid w:val="12413D84"/>
    <w:rsid w:val="127A7D1C"/>
    <w:rsid w:val="12836D8B"/>
    <w:rsid w:val="12AB0349"/>
    <w:rsid w:val="12B66520"/>
    <w:rsid w:val="12CD57F1"/>
    <w:rsid w:val="12CE5941"/>
    <w:rsid w:val="12CE7AFA"/>
    <w:rsid w:val="12D67466"/>
    <w:rsid w:val="13036052"/>
    <w:rsid w:val="13272A5D"/>
    <w:rsid w:val="13493108"/>
    <w:rsid w:val="134A4EBA"/>
    <w:rsid w:val="13733928"/>
    <w:rsid w:val="13857CA0"/>
    <w:rsid w:val="13920D68"/>
    <w:rsid w:val="139C16C9"/>
    <w:rsid w:val="13A5238E"/>
    <w:rsid w:val="13B63CE1"/>
    <w:rsid w:val="13BC6684"/>
    <w:rsid w:val="13C72B3A"/>
    <w:rsid w:val="13DF575E"/>
    <w:rsid w:val="13E470BD"/>
    <w:rsid w:val="13EE3A98"/>
    <w:rsid w:val="13F3280A"/>
    <w:rsid w:val="142123F7"/>
    <w:rsid w:val="142A11D8"/>
    <w:rsid w:val="144B544C"/>
    <w:rsid w:val="145B7B45"/>
    <w:rsid w:val="14717443"/>
    <w:rsid w:val="148D52E3"/>
    <w:rsid w:val="14992B90"/>
    <w:rsid w:val="14AF1856"/>
    <w:rsid w:val="14AF19A3"/>
    <w:rsid w:val="14B53957"/>
    <w:rsid w:val="14C53ECE"/>
    <w:rsid w:val="14CF6CB0"/>
    <w:rsid w:val="14DC5FE6"/>
    <w:rsid w:val="14E002E6"/>
    <w:rsid w:val="14FC36BD"/>
    <w:rsid w:val="14FF5EA7"/>
    <w:rsid w:val="151E3A0F"/>
    <w:rsid w:val="152534E9"/>
    <w:rsid w:val="153A36AA"/>
    <w:rsid w:val="15477903"/>
    <w:rsid w:val="1557566D"/>
    <w:rsid w:val="15811F1B"/>
    <w:rsid w:val="15A30135"/>
    <w:rsid w:val="15A34015"/>
    <w:rsid w:val="15BB487B"/>
    <w:rsid w:val="15CE086D"/>
    <w:rsid w:val="15E2236F"/>
    <w:rsid w:val="161D09ED"/>
    <w:rsid w:val="162323A3"/>
    <w:rsid w:val="162F30B1"/>
    <w:rsid w:val="1650762F"/>
    <w:rsid w:val="16510F12"/>
    <w:rsid w:val="166448F9"/>
    <w:rsid w:val="1677211D"/>
    <w:rsid w:val="167954F9"/>
    <w:rsid w:val="169F7296"/>
    <w:rsid w:val="16A060BA"/>
    <w:rsid w:val="16A57EAF"/>
    <w:rsid w:val="16AC6E3F"/>
    <w:rsid w:val="16C872D5"/>
    <w:rsid w:val="16D54FA3"/>
    <w:rsid w:val="16D84D9F"/>
    <w:rsid w:val="16E94D3E"/>
    <w:rsid w:val="17053D6B"/>
    <w:rsid w:val="170D06E0"/>
    <w:rsid w:val="17332185"/>
    <w:rsid w:val="17475951"/>
    <w:rsid w:val="17793FC0"/>
    <w:rsid w:val="179F2E61"/>
    <w:rsid w:val="17BE19D3"/>
    <w:rsid w:val="17C227C0"/>
    <w:rsid w:val="17D66D7C"/>
    <w:rsid w:val="17EE5BFF"/>
    <w:rsid w:val="18097740"/>
    <w:rsid w:val="184055B9"/>
    <w:rsid w:val="184A2082"/>
    <w:rsid w:val="185D3C42"/>
    <w:rsid w:val="185F38AF"/>
    <w:rsid w:val="188F0211"/>
    <w:rsid w:val="18AD1BEB"/>
    <w:rsid w:val="18B3004A"/>
    <w:rsid w:val="18B96080"/>
    <w:rsid w:val="18DB2CD8"/>
    <w:rsid w:val="18F67868"/>
    <w:rsid w:val="190B2D88"/>
    <w:rsid w:val="190E6B63"/>
    <w:rsid w:val="19123928"/>
    <w:rsid w:val="19194264"/>
    <w:rsid w:val="19283048"/>
    <w:rsid w:val="19420786"/>
    <w:rsid w:val="19427EC0"/>
    <w:rsid w:val="195711D7"/>
    <w:rsid w:val="195D2A3F"/>
    <w:rsid w:val="198310E9"/>
    <w:rsid w:val="198D747A"/>
    <w:rsid w:val="19A15638"/>
    <w:rsid w:val="19A74DFE"/>
    <w:rsid w:val="1A125525"/>
    <w:rsid w:val="1A5F4342"/>
    <w:rsid w:val="1A616E2C"/>
    <w:rsid w:val="1A7F369B"/>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AB2820"/>
    <w:rsid w:val="1CD402EC"/>
    <w:rsid w:val="1CED16EF"/>
    <w:rsid w:val="1CF02333"/>
    <w:rsid w:val="1D0C33A2"/>
    <w:rsid w:val="1D113E6E"/>
    <w:rsid w:val="1D114E5E"/>
    <w:rsid w:val="1D1F0050"/>
    <w:rsid w:val="1D2222DC"/>
    <w:rsid w:val="1D5B3CDE"/>
    <w:rsid w:val="1D6E2950"/>
    <w:rsid w:val="1D98209B"/>
    <w:rsid w:val="1DA23746"/>
    <w:rsid w:val="1DAA14B9"/>
    <w:rsid w:val="1DD04513"/>
    <w:rsid w:val="1DDD2BCB"/>
    <w:rsid w:val="1E0345E3"/>
    <w:rsid w:val="1E1B7B7F"/>
    <w:rsid w:val="1E443370"/>
    <w:rsid w:val="1E656063"/>
    <w:rsid w:val="1E6B06A5"/>
    <w:rsid w:val="1E7F7D9E"/>
    <w:rsid w:val="1E840DA4"/>
    <w:rsid w:val="1EA5444C"/>
    <w:rsid w:val="1EB350EF"/>
    <w:rsid w:val="1EC21749"/>
    <w:rsid w:val="1EEB7C4E"/>
    <w:rsid w:val="1F072441"/>
    <w:rsid w:val="1F171B83"/>
    <w:rsid w:val="1F2D491A"/>
    <w:rsid w:val="1F7369C7"/>
    <w:rsid w:val="1F94547B"/>
    <w:rsid w:val="1FAF308C"/>
    <w:rsid w:val="1FB64FF9"/>
    <w:rsid w:val="1FC11109"/>
    <w:rsid w:val="1FEF08C8"/>
    <w:rsid w:val="1FF72E6A"/>
    <w:rsid w:val="201B3ED4"/>
    <w:rsid w:val="20230F6D"/>
    <w:rsid w:val="20310B02"/>
    <w:rsid w:val="206F0406"/>
    <w:rsid w:val="20784063"/>
    <w:rsid w:val="207E346A"/>
    <w:rsid w:val="208E12C3"/>
    <w:rsid w:val="209502A3"/>
    <w:rsid w:val="2100305C"/>
    <w:rsid w:val="210F579E"/>
    <w:rsid w:val="212550B5"/>
    <w:rsid w:val="21592B62"/>
    <w:rsid w:val="2172049B"/>
    <w:rsid w:val="21747CD2"/>
    <w:rsid w:val="219263AA"/>
    <w:rsid w:val="219E5782"/>
    <w:rsid w:val="21D10545"/>
    <w:rsid w:val="21E72B0B"/>
    <w:rsid w:val="21F66F4C"/>
    <w:rsid w:val="221F2D96"/>
    <w:rsid w:val="22246DB1"/>
    <w:rsid w:val="22440067"/>
    <w:rsid w:val="225A6017"/>
    <w:rsid w:val="22631AF5"/>
    <w:rsid w:val="227A5532"/>
    <w:rsid w:val="22843A03"/>
    <w:rsid w:val="228E5C2C"/>
    <w:rsid w:val="22A338AB"/>
    <w:rsid w:val="22AD37A2"/>
    <w:rsid w:val="22B31E8A"/>
    <w:rsid w:val="22C05285"/>
    <w:rsid w:val="22C735BD"/>
    <w:rsid w:val="22D729A8"/>
    <w:rsid w:val="22F06957"/>
    <w:rsid w:val="23057681"/>
    <w:rsid w:val="23122833"/>
    <w:rsid w:val="231D4917"/>
    <w:rsid w:val="23223458"/>
    <w:rsid w:val="23225D32"/>
    <w:rsid w:val="23357BE6"/>
    <w:rsid w:val="2342574E"/>
    <w:rsid w:val="2377331D"/>
    <w:rsid w:val="237D43DE"/>
    <w:rsid w:val="23940114"/>
    <w:rsid w:val="23B57016"/>
    <w:rsid w:val="23BA42AB"/>
    <w:rsid w:val="23D4764B"/>
    <w:rsid w:val="23EC3718"/>
    <w:rsid w:val="24044EF2"/>
    <w:rsid w:val="2407139D"/>
    <w:rsid w:val="240B04F4"/>
    <w:rsid w:val="242A0646"/>
    <w:rsid w:val="2435301D"/>
    <w:rsid w:val="243A0633"/>
    <w:rsid w:val="243D6E1A"/>
    <w:rsid w:val="24607F91"/>
    <w:rsid w:val="246C581B"/>
    <w:rsid w:val="247C52A2"/>
    <w:rsid w:val="24CC106B"/>
    <w:rsid w:val="24D00598"/>
    <w:rsid w:val="24D725E9"/>
    <w:rsid w:val="25045F70"/>
    <w:rsid w:val="250474F1"/>
    <w:rsid w:val="25056E93"/>
    <w:rsid w:val="25092EBA"/>
    <w:rsid w:val="25241020"/>
    <w:rsid w:val="25302410"/>
    <w:rsid w:val="257572C3"/>
    <w:rsid w:val="25790E85"/>
    <w:rsid w:val="25972C60"/>
    <w:rsid w:val="25974C6F"/>
    <w:rsid w:val="259D1676"/>
    <w:rsid w:val="25A353EB"/>
    <w:rsid w:val="25B87B65"/>
    <w:rsid w:val="25CB78C3"/>
    <w:rsid w:val="25D54390"/>
    <w:rsid w:val="261879A7"/>
    <w:rsid w:val="261A071C"/>
    <w:rsid w:val="264B0BA4"/>
    <w:rsid w:val="2661459D"/>
    <w:rsid w:val="268C5256"/>
    <w:rsid w:val="268E455B"/>
    <w:rsid w:val="26912B30"/>
    <w:rsid w:val="269772F0"/>
    <w:rsid w:val="26997893"/>
    <w:rsid w:val="26A30712"/>
    <w:rsid w:val="26AC0C27"/>
    <w:rsid w:val="26C807A6"/>
    <w:rsid w:val="26D1527F"/>
    <w:rsid w:val="26DB67BA"/>
    <w:rsid w:val="26E311CD"/>
    <w:rsid w:val="26EF24ED"/>
    <w:rsid w:val="26F1408A"/>
    <w:rsid w:val="26F96584"/>
    <w:rsid w:val="27015370"/>
    <w:rsid w:val="270B421F"/>
    <w:rsid w:val="274E2228"/>
    <w:rsid w:val="27517A93"/>
    <w:rsid w:val="275E53AF"/>
    <w:rsid w:val="276658E8"/>
    <w:rsid w:val="276F6846"/>
    <w:rsid w:val="277E30D2"/>
    <w:rsid w:val="27803F2A"/>
    <w:rsid w:val="27A34941"/>
    <w:rsid w:val="27EE3A7B"/>
    <w:rsid w:val="283C23DF"/>
    <w:rsid w:val="283D69F1"/>
    <w:rsid w:val="284C16F5"/>
    <w:rsid w:val="28570AB5"/>
    <w:rsid w:val="285F2CDC"/>
    <w:rsid w:val="28622C36"/>
    <w:rsid w:val="289E7E22"/>
    <w:rsid w:val="28C2534B"/>
    <w:rsid w:val="28C5525A"/>
    <w:rsid w:val="28D14B96"/>
    <w:rsid w:val="29020C46"/>
    <w:rsid w:val="290240C7"/>
    <w:rsid w:val="291713AF"/>
    <w:rsid w:val="291A2B97"/>
    <w:rsid w:val="29274EE0"/>
    <w:rsid w:val="295029E3"/>
    <w:rsid w:val="29543A59"/>
    <w:rsid w:val="2969197F"/>
    <w:rsid w:val="29746E87"/>
    <w:rsid w:val="297C03C2"/>
    <w:rsid w:val="299573AB"/>
    <w:rsid w:val="29BE5BD0"/>
    <w:rsid w:val="29C01572"/>
    <w:rsid w:val="29CA4207"/>
    <w:rsid w:val="29E74CE2"/>
    <w:rsid w:val="2A241B69"/>
    <w:rsid w:val="2A306A36"/>
    <w:rsid w:val="2A5372C6"/>
    <w:rsid w:val="2A5B03D8"/>
    <w:rsid w:val="2A6F6D07"/>
    <w:rsid w:val="2A882500"/>
    <w:rsid w:val="2AA35184"/>
    <w:rsid w:val="2AAB4E76"/>
    <w:rsid w:val="2AB63ABC"/>
    <w:rsid w:val="2AB63D0A"/>
    <w:rsid w:val="2B003D00"/>
    <w:rsid w:val="2B074D5E"/>
    <w:rsid w:val="2B100BA9"/>
    <w:rsid w:val="2B1B5825"/>
    <w:rsid w:val="2B1E3AFC"/>
    <w:rsid w:val="2B8D373E"/>
    <w:rsid w:val="2B9E4F56"/>
    <w:rsid w:val="2BDB5A88"/>
    <w:rsid w:val="2BE91C37"/>
    <w:rsid w:val="2BEC3F72"/>
    <w:rsid w:val="2C083572"/>
    <w:rsid w:val="2C185F94"/>
    <w:rsid w:val="2C1F1AC4"/>
    <w:rsid w:val="2C2945BA"/>
    <w:rsid w:val="2C2E71FC"/>
    <w:rsid w:val="2C3F3A41"/>
    <w:rsid w:val="2C4431C4"/>
    <w:rsid w:val="2C62059F"/>
    <w:rsid w:val="2C6634FA"/>
    <w:rsid w:val="2CA25191"/>
    <w:rsid w:val="2CAC022C"/>
    <w:rsid w:val="2CC11807"/>
    <w:rsid w:val="2CF16074"/>
    <w:rsid w:val="2CF81D1B"/>
    <w:rsid w:val="2D3F2453"/>
    <w:rsid w:val="2D835174"/>
    <w:rsid w:val="2D9331F9"/>
    <w:rsid w:val="2DD90B7B"/>
    <w:rsid w:val="2DDD3FC1"/>
    <w:rsid w:val="2DF701D8"/>
    <w:rsid w:val="2DF970A1"/>
    <w:rsid w:val="2E085834"/>
    <w:rsid w:val="2E1034F8"/>
    <w:rsid w:val="2E120D8E"/>
    <w:rsid w:val="2E2A1718"/>
    <w:rsid w:val="2E443652"/>
    <w:rsid w:val="2E505773"/>
    <w:rsid w:val="2E742F70"/>
    <w:rsid w:val="2E9A689E"/>
    <w:rsid w:val="2EDC2A13"/>
    <w:rsid w:val="2EFD7DB9"/>
    <w:rsid w:val="2F1A081D"/>
    <w:rsid w:val="2F1C72B3"/>
    <w:rsid w:val="2F1E3DC0"/>
    <w:rsid w:val="2F2D326E"/>
    <w:rsid w:val="2F3112DE"/>
    <w:rsid w:val="2F3B6922"/>
    <w:rsid w:val="2F3D7B25"/>
    <w:rsid w:val="2F506C6D"/>
    <w:rsid w:val="2F512253"/>
    <w:rsid w:val="2F51291F"/>
    <w:rsid w:val="2F55758A"/>
    <w:rsid w:val="2F7F15AE"/>
    <w:rsid w:val="2FA54796"/>
    <w:rsid w:val="2FA674E2"/>
    <w:rsid w:val="2FFE7D49"/>
    <w:rsid w:val="3002294D"/>
    <w:rsid w:val="3011153D"/>
    <w:rsid w:val="30142680"/>
    <w:rsid w:val="302A11B1"/>
    <w:rsid w:val="302A5C42"/>
    <w:rsid w:val="3039037A"/>
    <w:rsid w:val="30662043"/>
    <w:rsid w:val="30A74395"/>
    <w:rsid w:val="30B8125D"/>
    <w:rsid w:val="30BF439A"/>
    <w:rsid w:val="30CF6A37"/>
    <w:rsid w:val="30D250CF"/>
    <w:rsid w:val="31002970"/>
    <w:rsid w:val="311016AD"/>
    <w:rsid w:val="3136622A"/>
    <w:rsid w:val="3139422E"/>
    <w:rsid w:val="31496359"/>
    <w:rsid w:val="314D19A6"/>
    <w:rsid w:val="316177A4"/>
    <w:rsid w:val="31700E4B"/>
    <w:rsid w:val="3172683C"/>
    <w:rsid w:val="31A359FC"/>
    <w:rsid w:val="31AD0D61"/>
    <w:rsid w:val="31CD297B"/>
    <w:rsid w:val="31CD73BD"/>
    <w:rsid w:val="31D66571"/>
    <w:rsid w:val="31DB4220"/>
    <w:rsid w:val="31DC56CD"/>
    <w:rsid w:val="31E63B94"/>
    <w:rsid w:val="31F27AF7"/>
    <w:rsid w:val="32176602"/>
    <w:rsid w:val="322A7699"/>
    <w:rsid w:val="322B25C6"/>
    <w:rsid w:val="32422E70"/>
    <w:rsid w:val="325E56C6"/>
    <w:rsid w:val="3275698A"/>
    <w:rsid w:val="32A93829"/>
    <w:rsid w:val="32B943EC"/>
    <w:rsid w:val="32DC63A0"/>
    <w:rsid w:val="32E429C1"/>
    <w:rsid w:val="330503EE"/>
    <w:rsid w:val="334045BE"/>
    <w:rsid w:val="334A3B2A"/>
    <w:rsid w:val="3365592E"/>
    <w:rsid w:val="336A31F3"/>
    <w:rsid w:val="336F6533"/>
    <w:rsid w:val="337E5E2F"/>
    <w:rsid w:val="3384610D"/>
    <w:rsid w:val="33AA5979"/>
    <w:rsid w:val="33C03E90"/>
    <w:rsid w:val="33C96649"/>
    <w:rsid w:val="33CC3D88"/>
    <w:rsid w:val="33DD0306"/>
    <w:rsid w:val="33FD722F"/>
    <w:rsid w:val="3400362D"/>
    <w:rsid w:val="340B09C5"/>
    <w:rsid w:val="341E4CAB"/>
    <w:rsid w:val="34584EE2"/>
    <w:rsid w:val="347D373F"/>
    <w:rsid w:val="34922A93"/>
    <w:rsid w:val="34956481"/>
    <w:rsid w:val="34A35871"/>
    <w:rsid w:val="34C06C9D"/>
    <w:rsid w:val="34DF24AE"/>
    <w:rsid w:val="351C4931"/>
    <w:rsid w:val="351C4EAC"/>
    <w:rsid w:val="351D4C26"/>
    <w:rsid w:val="352E7D40"/>
    <w:rsid w:val="35361A77"/>
    <w:rsid w:val="35461A22"/>
    <w:rsid w:val="35483CC9"/>
    <w:rsid w:val="35A815CB"/>
    <w:rsid w:val="35A85BD0"/>
    <w:rsid w:val="35AA1B9C"/>
    <w:rsid w:val="35DB09A6"/>
    <w:rsid w:val="36080591"/>
    <w:rsid w:val="3609472F"/>
    <w:rsid w:val="369B4CF0"/>
    <w:rsid w:val="36D62629"/>
    <w:rsid w:val="36D76172"/>
    <w:rsid w:val="36D84407"/>
    <w:rsid w:val="36E833BB"/>
    <w:rsid w:val="36EB1E1B"/>
    <w:rsid w:val="36F17F0D"/>
    <w:rsid w:val="37224581"/>
    <w:rsid w:val="3735197D"/>
    <w:rsid w:val="373756A2"/>
    <w:rsid w:val="375E0DA6"/>
    <w:rsid w:val="378B61A6"/>
    <w:rsid w:val="37A32D00"/>
    <w:rsid w:val="37B90F0B"/>
    <w:rsid w:val="37CD3F98"/>
    <w:rsid w:val="37DF75BA"/>
    <w:rsid w:val="37E148E2"/>
    <w:rsid w:val="37F848EE"/>
    <w:rsid w:val="37F912FC"/>
    <w:rsid w:val="38304889"/>
    <w:rsid w:val="38382675"/>
    <w:rsid w:val="383B7B0D"/>
    <w:rsid w:val="3848553B"/>
    <w:rsid w:val="3851700B"/>
    <w:rsid w:val="385246B6"/>
    <w:rsid w:val="3876113B"/>
    <w:rsid w:val="38A53DB7"/>
    <w:rsid w:val="38BF3388"/>
    <w:rsid w:val="38CC268D"/>
    <w:rsid w:val="38DF1FDA"/>
    <w:rsid w:val="38EC2960"/>
    <w:rsid w:val="392536E2"/>
    <w:rsid w:val="39465F15"/>
    <w:rsid w:val="39505209"/>
    <w:rsid w:val="396453C5"/>
    <w:rsid w:val="39922CCF"/>
    <w:rsid w:val="39A65327"/>
    <w:rsid w:val="39A65C9B"/>
    <w:rsid w:val="39BC5ED6"/>
    <w:rsid w:val="39D27231"/>
    <w:rsid w:val="39EB39E0"/>
    <w:rsid w:val="39EF02D4"/>
    <w:rsid w:val="3A11342A"/>
    <w:rsid w:val="3A153110"/>
    <w:rsid w:val="3A2149EA"/>
    <w:rsid w:val="3A2507C0"/>
    <w:rsid w:val="3A285AD8"/>
    <w:rsid w:val="3A393FA7"/>
    <w:rsid w:val="3A3A5A22"/>
    <w:rsid w:val="3A524858"/>
    <w:rsid w:val="3A64203E"/>
    <w:rsid w:val="3A663D00"/>
    <w:rsid w:val="3A7428D0"/>
    <w:rsid w:val="3A923AE4"/>
    <w:rsid w:val="3AA50E25"/>
    <w:rsid w:val="3AC566E3"/>
    <w:rsid w:val="3AD6747A"/>
    <w:rsid w:val="3AD95C48"/>
    <w:rsid w:val="3B312338"/>
    <w:rsid w:val="3B3C5B77"/>
    <w:rsid w:val="3B3D0FF2"/>
    <w:rsid w:val="3B521A18"/>
    <w:rsid w:val="3B8D2B96"/>
    <w:rsid w:val="3B923660"/>
    <w:rsid w:val="3BCA44BE"/>
    <w:rsid w:val="3C061F3A"/>
    <w:rsid w:val="3C0A04F9"/>
    <w:rsid w:val="3C495480"/>
    <w:rsid w:val="3C4C3A42"/>
    <w:rsid w:val="3C6F0167"/>
    <w:rsid w:val="3C71667B"/>
    <w:rsid w:val="3C914F3B"/>
    <w:rsid w:val="3C9226E3"/>
    <w:rsid w:val="3CC17F13"/>
    <w:rsid w:val="3CD50B40"/>
    <w:rsid w:val="3CE320A3"/>
    <w:rsid w:val="3CE9196C"/>
    <w:rsid w:val="3CF15105"/>
    <w:rsid w:val="3D0C04B9"/>
    <w:rsid w:val="3D1414C5"/>
    <w:rsid w:val="3D1C763E"/>
    <w:rsid w:val="3D201AA5"/>
    <w:rsid w:val="3D2B37EA"/>
    <w:rsid w:val="3D2F7FF3"/>
    <w:rsid w:val="3D3D1507"/>
    <w:rsid w:val="3D62085B"/>
    <w:rsid w:val="3D7B4622"/>
    <w:rsid w:val="3D8E5820"/>
    <w:rsid w:val="3D942E29"/>
    <w:rsid w:val="3DA53531"/>
    <w:rsid w:val="3DB54E0C"/>
    <w:rsid w:val="3DB900C1"/>
    <w:rsid w:val="3DE91725"/>
    <w:rsid w:val="3DF159B1"/>
    <w:rsid w:val="3E1A106E"/>
    <w:rsid w:val="3E36303B"/>
    <w:rsid w:val="3E526044"/>
    <w:rsid w:val="3E6C2B3A"/>
    <w:rsid w:val="3E8C5311"/>
    <w:rsid w:val="3E8E7E55"/>
    <w:rsid w:val="3EB61473"/>
    <w:rsid w:val="3EC66011"/>
    <w:rsid w:val="3ED75B7F"/>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5C1C05"/>
    <w:rsid w:val="40765D15"/>
    <w:rsid w:val="407B4FC1"/>
    <w:rsid w:val="407F2DE9"/>
    <w:rsid w:val="40991379"/>
    <w:rsid w:val="409B3C3D"/>
    <w:rsid w:val="40F701DF"/>
    <w:rsid w:val="40FD480A"/>
    <w:rsid w:val="412A32F8"/>
    <w:rsid w:val="417F433E"/>
    <w:rsid w:val="419C4043"/>
    <w:rsid w:val="41B7239D"/>
    <w:rsid w:val="41FF3845"/>
    <w:rsid w:val="421104A9"/>
    <w:rsid w:val="42143B88"/>
    <w:rsid w:val="42164586"/>
    <w:rsid w:val="425B5DD1"/>
    <w:rsid w:val="4260300C"/>
    <w:rsid w:val="42755200"/>
    <w:rsid w:val="42772802"/>
    <w:rsid w:val="427C799E"/>
    <w:rsid w:val="42800B9B"/>
    <w:rsid w:val="4281223D"/>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64E08"/>
    <w:rsid w:val="43BD7F58"/>
    <w:rsid w:val="43D43ECA"/>
    <w:rsid w:val="43DD452F"/>
    <w:rsid w:val="43DE6CD4"/>
    <w:rsid w:val="43E51150"/>
    <w:rsid w:val="43EF28BB"/>
    <w:rsid w:val="43EF56D3"/>
    <w:rsid w:val="44095C00"/>
    <w:rsid w:val="440A6FD2"/>
    <w:rsid w:val="44366C11"/>
    <w:rsid w:val="444946CA"/>
    <w:rsid w:val="444B3F54"/>
    <w:rsid w:val="4476661F"/>
    <w:rsid w:val="447E3AC5"/>
    <w:rsid w:val="44805ED4"/>
    <w:rsid w:val="448E5DEE"/>
    <w:rsid w:val="44A90BAA"/>
    <w:rsid w:val="44B24A20"/>
    <w:rsid w:val="44BC0BEE"/>
    <w:rsid w:val="44BF6C07"/>
    <w:rsid w:val="44C55A88"/>
    <w:rsid w:val="44FB1C9C"/>
    <w:rsid w:val="45392A13"/>
    <w:rsid w:val="454F1836"/>
    <w:rsid w:val="45887B45"/>
    <w:rsid w:val="458B66DF"/>
    <w:rsid w:val="45940F0E"/>
    <w:rsid w:val="45AC5DBA"/>
    <w:rsid w:val="45C647AF"/>
    <w:rsid w:val="45DD529D"/>
    <w:rsid w:val="45E57886"/>
    <w:rsid w:val="45E945CC"/>
    <w:rsid w:val="46003076"/>
    <w:rsid w:val="46026F63"/>
    <w:rsid w:val="46177E29"/>
    <w:rsid w:val="46205B7F"/>
    <w:rsid w:val="4659575D"/>
    <w:rsid w:val="465D501C"/>
    <w:rsid w:val="466367DB"/>
    <w:rsid w:val="46686D18"/>
    <w:rsid w:val="46BF7E28"/>
    <w:rsid w:val="46C3037C"/>
    <w:rsid w:val="46FF15E0"/>
    <w:rsid w:val="4700581C"/>
    <w:rsid w:val="4702516A"/>
    <w:rsid w:val="474A4B33"/>
    <w:rsid w:val="47665A15"/>
    <w:rsid w:val="47677941"/>
    <w:rsid w:val="477F1660"/>
    <w:rsid w:val="4788232A"/>
    <w:rsid w:val="478B0398"/>
    <w:rsid w:val="478F5D0B"/>
    <w:rsid w:val="47A31F5F"/>
    <w:rsid w:val="47B52444"/>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413F52"/>
    <w:rsid w:val="494F6304"/>
    <w:rsid w:val="4A05334F"/>
    <w:rsid w:val="4A244932"/>
    <w:rsid w:val="4A2922C8"/>
    <w:rsid w:val="4A4117B2"/>
    <w:rsid w:val="4A4A6F73"/>
    <w:rsid w:val="4A7A4350"/>
    <w:rsid w:val="4A7E2497"/>
    <w:rsid w:val="4A871534"/>
    <w:rsid w:val="4A896826"/>
    <w:rsid w:val="4ABF5E17"/>
    <w:rsid w:val="4AD52CE0"/>
    <w:rsid w:val="4AE01A66"/>
    <w:rsid w:val="4AE104D6"/>
    <w:rsid w:val="4AE724D1"/>
    <w:rsid w:val="4AE77140"/>
    <w:rsid w:val="4AEA4061"/>
    <w:rsid w:val="4AED707B"/>
    <w:rsid w:val="4AFA2F07"/>
    <w:rsid w:val="4B015D61"/>
    <w:rsid w:val="4B0B7979"/>
    <w:rsid w:val="4B1530DD"/>
    <w:rsid w:val="4B520DF4"/>
    <w:rsid w:val="4B603107"/>
    <w:rsid w:val="4B9802B0"/>
    <w:rsid w:val="4B9E65BE"/>
    <w:rsid w:val="4B9F33A8"/>
    <w:rsid w:val="4BA80AFD"/>
    <w:rsid w:val="4BB033BA"/>
    <w:rsid w:val="4BB469AD"/>
    <w:rsid w:val="4BC06040"/>
    <w:rsid w:val="4BF441D2"/>
    <w:rsid w:val="4C1C2A09"/>
    <w:rsid w:val="4C423098"/>
    <w:rsid w:val="4C694192"/>
    <w:rsid w:val="4C7964D9"/>
    <w:rsid w:val="4C9269F6"/>
    <w:rsid w:val="4CC84335"/>
    <w:rsid w:val="4CE9350A"/>
    <w:rsid w:val="4D225F85"/>
    <w:rsid w:val="4D297BF3"/>
    <w:rsid w:val="4D2D0EAF"/>
    <w:rsid w:val="4D7F0082"/>
    <w:rsid w:val="4D952FD9"/>
    <w:rsid w:val="4D970662"/>
    <w:rsid w:val="4DB33393"/>
    <w:rsid w:val="4DBC3CE3"/>
    <w:rsid w:val="4DCF1E0D"/>
    <w:rsid w:val="4DD632D9"/>
    <w:rsid w:val="4DE05D9E"/>
    <w:rsid w:val="4DE05DF9"/>
    <w:rsid w:val="4DE44800"/>
    <w:rsid w:val="4DEE0709"/>
    <w:rsid w:val="4DFC14EA"/>
    <w:rsid w:val="4DFF6815"/>
    <w:rsid w:val="4E0A3427"/>
    <w:rsid w:val="4E287F63"/>
    <w:rsid w:val="4E304B5D"/>
    <w:rsid w:val="4E611B8B"/>
    <w:rsid w:val="4E6279D7"/>
    <w:rsid w:val="4E682F8C"/>
    <w:rsid w:val="4E6A7BB7"/>
    <w:rsid w:val="4EB23220"/>
    <w:rsid w:val="4F0773B4"/>
    <w:rsid w:val="4F307BB1"/>
    <w:rsid w:val="4F3D562D"/>
    <w:rsid w:val="4F5C4EE0"/>
    <w:rsid w:val="4F6E1972"/>
    <w:rsid w:val="4F943166"/>
    <w:rsid w:val="4FBA02A1"/>
    <w:rsid w:val="4FE7106E"/>
    <w:rsid w:val="50053943"/>
    <w:rsid w:val="50374A3C"/>
    <w:rsid w:val="50550E55"/>
    <w:rsid w:val="50901457"/>
    <w:rsid w:val="509F43E4"/>
    <w:rsid w:val="50A54D3E"/>
    <w:rsid w:val="50B82E88"/>
    <w:rsid w:val="50BB32A7"/>
    <w:rsid w:val="50F1402B"/>
    <w:rsid w:val="50FD2AD9"/>
    <w:rsid w:val="51081E85"/>
    <w:rsid w:val="51097D9A"/>
    <w:rsid w:val="51237D2E"/>
    <w:rsid w:val="515B06D0"/>
    <w:rsid w:val="51996737"/>
    <w:rsid w:val="51B408B8"/>
    <w:rsid w:val="51B80848"/>
    <w:rsid w:val="51CC0868"/>
    <w:rsid w:val="51D5340F"/>
    <w:rsid w:val="52382F2A"/>
    <w:rsid w:val="52386E3D"/>
    <w:rsid w:val="523A7DD1"/>
    <w:rsid w:val="523B7711"/>
    <w:rsid w:val="5271774C"/>
    <w:rsid w:val="528D7B65"/>
    <w:rsid w:val="52DE008D"/>
    <w:rsid w:val="52EE341E"/>
    <w:rsid w:val="52F37FE6"/>
    <w:rsid w:val="52FC1CAF"/>
    <w:rsid w:val="530B071F"/>
    <w:rsid w:val="531A330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4B514D"/>
    <w:rsid w:val="545E1D01"/>
    <w:rsid w:val="54674051"/>
    <w:rsid w:val="54935B8F"/>
    <w:rsid w:val="54CC6227"/>
    <w:rsid w:val="54D10F9B"/>
    <w:rsid w:val="54D97871"/>
    <w:rsid w:val="551D586C"/>
    <w:rsid w:val="55200298"/>
    <w:rsid w:val="55335E1B"/>
    <w:rsid w:val="554B7EF0"/>
    <w:rsid w:val="556F3D99"/>
    <w:rsid w:val="55720837"/>
    <w:rsid w:val="55860894"/>
    <w:rsid w:val="558F6181"/>
    <w:rsid w:val="55B02DF1"/>
    <w:rsid w:val="55DC290C"/>
    <w:rsid w:val="55E71B19"/>
    <w:rsid w:val="55EA5D64"/>
    <w:rsid w:val="55F01FA1"/>
    <w:rsid w:val="55FC19B9"/>
    <w:rsid w:val="56130B60"/>
    <w:rsid w:val="56990B7C"/>
    <w:rsid w:val="569E1126"/>
    <w:rsid w:val="56A8690E"/>
    <w:rsid w:val="56B80DEB"/>
    <w:rsid w:val="56C43C09"/>
    <w:rsid w:val="56E0560F"/>
    <w:rsid w:val="56E06E61"/>
    <w:rsid w:val="56F653FE"/>
    <w:rsid w:val="574448FC"/>
    <w:rsid w:val="57561D39"/>
    <w:rsid w:val="575B7AFD"/>
    <w:rsid w:val="57660D3F"/>
    <w:rsid w:val="5785783C"/>
    <w:rsid w:val="57D1153D"/>
    <w:rsid w:val="57FA3774"/>
    <w:rsid w:val="58084A3C"/>
    <w:rsid w:val="582772A7"/>
    <w:rsid w:val="58531B77"/>
    <w:rsid w:val="58533496"/>
    <w:rsid w:val="585D2975"/>
    <w:rsid w:val="585F64F9"/>
    <w:rsid w:val="587E3341"/>
    <w:rsid w:val="587F428B"/>
    <w:rsid w:val="58CF56D8"/>
    <w:rsid w:val="58D31010"/>
    <w:rsid w:val="58D6741E"/>
    <w:rsid w:val="58DB0535"/>
    <w:rsid w:val="58E62E0E"/>
    <w:rsid w:val="58EA3D0E"/>
    <w:rsid w:val="58F24A5D"/>
    <w:rsid w:val="58F71269"/>
    <w:rsid w:val="58FE045E"/>
    <w:rsid w:val="59561946"/>
    <w:rsid w:val="59670F51"/>
    <w:rsid w:val="596A44F9"/>
    <w:rsid w:val="596C19BB"/>
    <w:rsid w:val="59790BDB"/>
    <w:rsid w:val="597E3F42"/>
    <w:rsid w:val="598653AC"/>
    <w:rsid w:val="59AC3C86"/>
    <w:rsid w:val="59D42FDA"/>
    <w:rsid w:val="59DA4E01"/>
    <w:rsid w:val="59F64E82"/>
    <w:rsid w:val="5A0A5DD6"/>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6D62B9"/>
    <w:rsid w:val="5B9A2B59"/>
    <w:rsid w:val="5BC0085A"/>
    <w:rsid w:val="5BE03293"/>
    <w:rsid w:val="5BF03D58"/>
    <w:rsid w:val="5BF20AFB"/>
    <w:rsid w:val="5C1A6BB2"/>
    <w:rsid w:val="5C37233A"/>
    <w:rsid w:val="5C5355FE"/>
    <w:rsid w:val="5C6F4105"/>
    <w:rsid w:val="5CBB7F6F"/>
    <w:rsid w:val="5CC248CE"/>
    <w:rsid w:val="5D042FB1"/>
    <w:rsid w:val="5D442CB4"/>
    <w:rsid w:val="5D7C3F11"/>
    <w:rsid w:val="5D9D49E0"/>
    <w:rsid w:val="5DDF1821"/>
    <w:rsid w:val="5DE2656A"/>
    <w:rsid w:val="5DEA2F91"/>
    <w:rsid w:val="5DF94AE0"/>
    <w:rsid w:val="5DFA5883"/>
    <w:rsid w:val="5E1D44F7"/>
    <w:rsid w:val="5E3146A3"/>
    <w:rsid w:val="5E442F62"/>
    <w:rsid w:val="5E6C2C5B"/>
    <w:rsid w:val="5E6E2DD8"/>
    <w:rsid w:val="5E7251A2"/>
    <w:rsid w:val="5E7C3591"/>
    <w:rsid w:val="5E9D0E18"/>
    <w:rsid w:val="5EA341D7"/>
    <w:rsid w:val="5EA755DE"/>
    <w:rsid w:val="5ED35F0E"/>
    <w:rsid w:val="5EDF7832"/>
    <w:rsid w:val="5EFC1390"/>
    <w:rsid w:val="5EFC3EB6"/>
    <w:rsid w:val="5F03335D"/>
    <w:rsid w:val="5F0368C7"/>
    <w:rsid w:val="5F1544E7"/>
    <w:rsid w:val="5F312D8D"/>
    <w:rsid w:val="5F3C4923"/>
    <w:rsid w:val="5F4160B0"/>
    <w:rsid w:val="5F5A7800"/>
    <w:rsid w:val="5F7811D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A77D8"/>
    <w:rsid w:val="607B3C50"/>
    <w:rsid w:val="608B6567"/>
    <w:rsid w:val="60AA3E6F"/>
    <w:rsid w:val="60FF21D9"/>
    <w:rsid w:val="613021B3"/>
    <w:rsid w:val="61306A6A"/>
    <w:rsid w:val="613253FD"/>
    <w:rsid w:val="61421F29"/>
    <w:rsid w:val="61712185"/>
    <w:rsid w:val="618B7207"/>
    <w:rsid w:val="61A90D68"/>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C74D38"/>
    <w:rsid w:val="63EE4692"/>
    <w:rsid w:val="63FD622D"/>
    <w:rsid w:val="643F32F9"/>
    <w:rsid w:val="64582686"/>
    <w:rsid w:val="64673C87"/>
    <w:rsid w:val="64A170D2"/>
    <w:rsid w:val="64A251DD"/>
    <w:rsid w:val="650242F0"/>
    <w:rsid w:val="65365B2B"/>
    <w:rsid w:val="653F447E"/>
    <w:rsid w:val="65542778"/>
    <w:rsid w:val="655829AF"/>
    <w:rsid w:val="656B70C3"/>
    <w:rsid w:val="658F4798"/>
    <w:rsid w:val="659B1EBA"/>
    <w:rsid w:val="65A83379"/>
    <w:rsid w:val="65B461E9"/>
    <w:rsid w:val="65BE39A8"/>
    <w:rsid w:val="65FB3FBE"/>
    <w:rsid w:val="66247D11"/>
    <w:rsid w:val="66736112"/>
    <w:rsid w:val="667F5B5B"/>
    <w:rsid w:val="6694262A"/>
    <w:rsid w:val="66990381"/>
    <w:rsid w:val="66B31B01"/>
    <w:rsid w:val="66CE1E80"/>
    <w:rsid w:val="66E362F9"/>
    <w:rsid w:val="66E47FD9"/>
    <w:rsid w:val="66F127F8"/>
    <w:rsid w:val="67071922"/>
    <w:rsid w:val="673B73C0"/>
    <w:rsid w:val="674743C8"/>
    <w:rsid w:val="675608B6"/>
    <w:rsid w:val="67754402"/>
    <w:rsid w:val="677D54ED"/>
    <w:rsid w:val="67B25E27"/>
    <w:rsid w:val="67B4646D"/>
    <w:rsid w:val="67B464CA"/>
    <w:rsid w:val="67C4383B"/>
    <w:rsid w:val="67D35E1A"/>
    <w:rsid w:val="67F35317"/>
    <w:rsid w:val="680201B7"/>
    <w:rsid w:val="68362BFB"/>
    <w:rsid w:val="683D085A"/>
    <w:rsid w:val="683F1130"/>
    <w:rsid w:val="684456A1"/>
    <w:rsid w:val="685E1363"/>
    <w:rsid w:val="687731D1"/>
    <w:rsid w:val="6878475E"/>
    <w:rsid w:val="688E1089"/>
    <w:rsid w:val="68993219"/>
    <w:rsid w:val="68A026F3"/>
    <w:rsid w:val="68AF6C13"/>
    <w:rsid w:val="68F25680"/>
    <w:rsid w:val="690E07C7"/>
    <w:rsid w:val="69236A65"/>
    <w:rsid w:val="692E469B"/>
    <w:rsid w:val="69315C48"/>
    <w:rsid w:val="694019EC"/>
    <w:rsid w:val="694841AF"/>
    <w:rsid w:val="69584DB4"/>
    <w:rsid w:val="696C3D80"/>
    <w:rsid w:val="698A5EE4"/>
    <w:rsid w:val="69C811ED"/>
    <w:rsid w:val="69D33070"/>
    <w:rsid w:val="69E97E75"/>
    <w:rsid w:val="69FB5D9E"/>
    <w:rsid w:val="69FF6FDA"/>
    <w:rsid w:val="6A1A3007"/>
    <w:rsid w:val="6A1E645E"/>
    <w:rsid w:val="6A417049"/>
    <w:rsid w:val="6A7903E5"/>
    <w:rsid w:val="6A8219B9"/>
    <w:rsid w:val="6AA03032"/>
    <w:rsid w:val="6AA86FEC"/>
    <w:rsid w:val="6ACB20F7"/>
    <w:rsid w:val="6ADA6AC4"/>
    <w:rsid w:val="6ADB11D6"/>
    <w:rsid w:val="6B1A2C3C"/>
    <w:rsid w:val="6B31644D"/>
    <w:rsid w:val="6B486C86"/>
    <w:rsid w:val="6B554C72"/>
    <w:rsid w:val="6B774DF2"/>
    <w:rsid w:val="6B847AD7"/>
    <w:rsid w:val="6B9A2DF9"/>
    <w:rsid w:val="6BA56BC7"/>
    <w:rsid w:val="6BAC4619"/>
    <w:rsid w:val="6BC60150"/>
    <w:rsid w:val="6BCD2823"/>
    <w:rsid w:val="6BDD15DD"/>
    <w:rsid w:val="6BDF2966"/>
    <w:rsid w:val="6BE86A5F"/>
    <w:rsid w:val="6C234DED"/>
    <w:rsid w:val="6C29198B"/>
    <w:rsid w:val="6C3A67D1"/>
    <w:rsid w:val="6C3D2D5C"/>
    <w:rsid w:val="6C4800AA"/>
    <w:rsid w:val="6C4D28F8"/>
    <w:rsid w:val="6C573E9C"/>
    <w:rsid w:val="6C5C23DC"/>
    <w:rsid w:val="6C6D1126"/>
    <w:rsid w:val="6C986334"/>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21877"/>
    <w:rsid w:val="6DE52ACD"/>
    <w:rsid w:val="6DFC0B44"/>
    <w:rsid w:val="6E0458E7"/>
    <w:rsid w:val="6E212037"/>
    <w:rsid w:val="6E3B221B"/>
    <w:rsid w:val="6E475779"/>
    <w:rsid w:val="6E663C68"/>
    <w:rsid w:val="6E7764EF"/>
    <w:rsid w:val="6EAD447C"/>
    <w:rsid w:val="6EAE5472"/>
    <w:rsid w:val="6EBC069A"/>
    <w:rsid w:val="6ECD7F59"/>
    <w:rsid w:val="6ECF449B"/>
    <w:rsid w:val="6EED7C80"/>
    <w:rsid w:val="6EF773A4"/>
    <w:rsid w:val="6F1E2E65"/>
    <w:rsid w:val="6F2F2D9E"/>
    <w:rsid w:val="6F4147D9"/>
    <w:rsid w:val="6F581F47"/>
    <w:rsid w:val="6F5B0D5A"/>
    <w:rsid w:val="6F5C35EA"/>
    <w:rsid w:val="6F6B6A15"/>
    <w:rsid w:val="6F947E4B"/>
    <w:rsid w:val="6FA30BDA"/>
    <w:rsid w:val="6FB21D4C"/>
    <w:rsid w:val="6FB80698"/>
    <w:rsid w:val="701021F4"/>
    <w:rsid w:val="701C29A6"/>
    <w:rsid w:val="7024611F"/>
    <w:rsid w:val="70637B96"/>
    <w:rsid w:val="70797317"/>
    <w:rsid w:val="7099044B"/>
    <w:rsid w:val="709D518F"/>
    <w:rsid w:val="70C759D3"/>
    <w:rsid w:val="70CF2B23"/>
    <w:rsid w:val="70D70CB1"/>
    <w:rsid w:val="70DD6CF5"/>
    <w:rsid w:val="710952C1"/>
    <w:rsid w:val="71452CD8"/>
    <w:rsid w:val="7158683A"/>
    <w:rsid w:val="715B2F52"/>
    <w:rsid w:val="7167680B"/>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5093A"/>
    <w:rsid w:val="72AD7197"/>
    <w:rsid w:val="72AF6F7E"/>
    <w:rsid w:val="72CD226C"/>
    <w:rsid w:val="73047904"/>
    <w:rsid w:val="73253EFA"/>
    <w:rsid w:val="734C1A6A"/>
    <w:rsid w:val="735C5949"/>
    <w:rsid w:val="73671287"/>
    <w:rsid w:val="73737DA5"/>
    <w:rsid w:val="73740A39"/>
    <w:rsid w:val="73783823"/>
    <w:rsid w:val="73887B3E"/>
    <w:rsid w:val="73892412"/>
    <w:rsid w:val="73AF2114"/>
    <w:rsid w:val="73E96BCA"/>
    <w:rsid w:val="73EE4A6E"/>
    <w:rsid w:val="741048BC"/>
    <w:rsid w:val="742E78D4"/>
    <w:rsid w:val="74317498"/>
    <w:rsid w:val="74335A84"/>
    <w:rsid w:val="743A6A13"/>
    <w:rsid w:val="74676A28"/>
    <w:rsid w:val="747E40B6"/>
    <w:rsid w:val="74AC3224"/>
    <w:rsid w:val="74B21065"/>
    <w:rsid w:val="74BB2C83"/>
    <w:rsid w:val="74C33758"/>
    <w:rsid w:val="74DE4E5F"/>
    <w:rsid w:val="74EB54AB"/>
    <w:rsid w:val="74FF6D43"/>
    <w:rsid w:val="750201A2"/>
    <w:rsid w:val="751A76AF"/>
    <w:rsid w:val="75250574"/>
    <w:rsid w:val="7550443E"/>
    <w:rsid w:val="755F0BCC"/>
    <w:rsid w:val="756F17F9"/>
    <w:rsid w:val="75825461"/>
    <w:rsid w:val="759926FC"/>
    <w:rsid w:val="75A24276"/>
    <w:rsid w:val="75AA231D"/>
    <w:rsid w:val="75AD6340"/>
    <w:rsid w:val="75DF5F11"/>
    <w:rsid w:val="75E8633A"/>
    <w:rsid w:val="76393874"/>
    <w:rsid w:val="763F09AA"/>
    <w:rsid w:val="764F3FCC"/>
    <w:rsid w:val="7650339F"/>
    <w:rsid w:val="76603C9A"/>
    <w:rsid w:val="76832D41"/>
    <w:rsid w:val="769D7525"/>
    <w:rsid w:val="76BB1CAB"/>
    <w:rsid w:val="76C04050"/>
    <w:rsid w:val="76D67314"/>
    <w:rsid w:val="76E65049"/>
    <w:rsid w:val="77076007"/>
    <w:rsid w:val="77413F7E"/>
    <w:rsid w:val="77464076"/>
    <w:rsid w:val="7758241F"/>
    <w:rsid w:val="777A7D22"/>
    <w:rsid w:val="77835654"/>
    <w:rsid w:val="7797109C"/>
    <w:rsid w:val="779A2A38"/>
    <w:rsid w:val="77B4450A"/>
    <w:rsid w:val="77B46E73"/>
    <w:rsid w:val="77E37A12"/>
    <w:rsid w:val="77FE3468"/>
    <w:rsid w:val="78250553"/>
    <w:rsid w:val="78546F0C"/>
    <w:rsid w:val="786778FE"/>
    <w:rsid w:val="78EE1C79"/>
    <w:rsid w:val="78F85605"/>
    <w:rsid w:val="78FA66FA"/>
    <w:rsid w:val="79424F6E"/>
    <w:rsid w:val="797239CC"/>
    <w:rsid w:val="79831473"/>
    <w:rsid w:val="79983E9C"/>
    <w:rsid w:val="7999527A"/>
    <w:rsid w:val="79AF76C5"/>
    <w:rsid w:val="79C25EE1"/>
    <w:rsid w:val="79CE2967"/>
    <w:rsid w:val="79E34934"/>
    <w:rsid w:val="79EA664C"/>
    <w:rsid w:val="79F9627A"/>
    <w:rsid w:val="7A2F3BBF"/>
    <w:rsid w:val="7A2F459A"/>
    <w:rsid w:val="7A322A39"/>
    <w:rsid w:val="7A517022"/>
    <w:rsid w:val="7A6F5001"/>
    <w:rsid w:val="7A9635B3"/>
    <w:rsid w:val="7AA2343E"/>
    <w:rsid w:val="7AD60EB8"/>
    <w:rsid w:val="7ADA73A4"/>
    <w:rsid w:val="7AE66B99"/>
    <w:rsid w:val="7AF34646"/>
    <w:rsid w:val="7AFE508C"/>
    <w:rsid w:val="7B0A3BCA"/>
    <w:rsid w:val="7B345AA9"/>
    <w:rsid w:val="7B4048C1"/>
    <w:rsid w:val="7B73082F"/>
    <w:rsid w:val="7B7B492E"/>
    <w:rsid w:val="7B8328F5"/>
    <w:rsid w:val="7BB46FBD"/>
    <w:rsid w:val="7BC62E00"/>
    <w:rsid w:val="7BE35E2A"/>
    <w:rsid w:val="7BF66C24"/>
    <w:rsid w:val="7BFA1CC7"/>
    <w:rsid w:val="7BFB70B3"/>
    <w:rsid w:val="7C0251DA"/>
    <w:rsid w:val="7C0E41D1"/>
    <w:rsid w:val="7C1052F2"/>
    <w:rsid w:val="7C2668D9"/>
    <w:rsid w:val="7C32497F"/>
    <w:rsid w:val="7C3C69AE"/>
    <w:rsid w:val="7C691974"/>
    <w:rsid w:val="7C8A6570"/>
    <w:rsid w:val="7C8B7390"/>
    <w:rsid w:val="7C9B0D0E"/>
    <w:rsid w:val="7CA42B03"/>
    <w:rsid w:val="7CD2318A"/>
    <w:rsid w:val="7CD2702A"/>
    <w:rsid w:val="7CD34C42"/>
    <w:rsid w:val="7CD46B29"/>
    <w:rsid w:val="7CDE3FF9"/>
    <w:rsid w:val="7CE26EBF"/>
    <w:rsid w:val="7CEE3130"/>
    <w:rsid w:val="7D1F6674"/>
    <w:rsid w:val="7D480B34"/>
    <w:rsid w:val="7D777A3E"/>
    <w:rsid w:val="7D9005BC"/>
    <w:rsid w:val="7D9F0AD0"/>
    <w:rsid w:val="7DD12BB7"/>
    <w:rsid w:val="7DF223A2"/>
    <w:rsid w:val="7DFF0955"/>
    <w:rsid w:val="7E0B750E"/>
    <w:rsid w:val="7E1939E8"/>
    <w:rsid w:val="7E2400E7"/>
    <w:rsid w:val="7E2822EA"/>
    <w:rsid w:val="7E355A7B"/>
    <w:rsid w:val="7E455322"/>
    <w:rsid w:val="7E6E3E85"/>
    <w:rsid w:val="7E9C184B"/>
    <w:rsid w:val="7EA72948"/>
    <w:rsid w:val="7EB31EDB"/>
    <w:rsid w:val="7EE70CC0"/>
    <w:rsid w:val="7EEB48DB"/>
    <w:rsid w:val="7EF27444"/>
    <w:rsid w:val="7F185A04"/>
    <w:rsid w:val="7F265C58"/>
    <w:rsid w:val="7F4C4618"/>
    <w:rsid w:val="7F582CF2"/>
    <w:rsid w:val="7F951B40"/>
    <w:rsid w:val="7FA820A8"/>
    <w:rsid w:val="7FB90D5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autoRedefine/>
    <w:qFormat/>
    <w:uiPriority w:val="0"/>
    <w:pPr>
      <w:keepNext/>
      <w:keepLines/>
      <w:spacing w:before="340" w:after="330" w:line="576" w:lineRule="auto"/>
      <w:outlineLvl w:val="0"/>
    </w:pPr>
    <w:rPr>
      <w:b/>
      <w:bCs/>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line="360" w:lineRule="auto"/>
      <w:outlineLvl w:val="3"/>
    </w:pPr>
    <w:rPr>
      <w:rFonts w:ascii="Arial" w:hAnsi="Arial"/>
      <w:b/>
      <w:bCs/>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link w:val="73"/>
    <w:autoRedefine/>
    <w:qFormat/>
    <w:uiPriority w:val="0"/>
  </w:style>
  <w:style w:type="paragraph" w:customStyle="1" w:styleId="4">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autoRedefine/>
    <w:qFormat/>
    <w:uiPriority w:val="0"/>
    <w:pPr>
      <w:widowControl/>
      <w:spacing w:beforeAutospacing="1" w:afterAutospacing="1"/>
      <w:jc w:val="left"/>
    </w:pPr>
    <w:rPr>
      <w:rFonts w:ascii="宋体" w:hAnsi="宋体" w:cs="宋体"/>
      <w:kern w:val="0"/>
      <w:sz w:val="24"/>
    </w:rPr>
  </w:style>
  <w:style w:type="paragraph" w:styleId="9">
    <w:name w:val="Normal Indent"/>
    <w:basedOn w:val="1"/>
    <w:autoRedefine/>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autoRedefine/>
    <w:qFormat/>
    <w:uiPriority w:val="0"/>
    <w:rPr>
      <w:rFonts w:ascii="宋体" w:hAnsi="Calibri"/>
      <w:sz w:val="18"/>
      <w:szCs w:val="18"/>
    </w:rPr>
  </w:style>
  <w:style w:type="paragraph" w:styleId="11">
    <w:name w:val="annotation text"/>
    <w:basedOn w:val="1"/>
    <w:autoRedefine/>
    <w:qFormat/>
    <w:uiPriority w:val="0"/>
    <w:pPr>
      <w:jc w:val="left"/>
    </w:pPr>
  </w:style>
  <w:style w:type="paragraph" w:styleId="12">
    <w:name w:val="Body Text 3"/>
    <w:basedOn w:val="1"/>
    <w:autoRedefine/>
    <w:qFormat/>
    <w:uiPriority w:val="0"/>
    <w:rPr>
      <w:sz w:val="16"/>
      <w:szCs w:val="16"/>
    </w:rPr>
  </w:style>
  <w:style w:type="paragraph" w:styleId="13">
    <w:name w:val="Body Text Indent"/>
    <w:basedOn w:val="1"/>
    <w:next w:val="14"/>
    <w:autoRedefine/>
    <w:qFormat/>
    <w:uiPriority w:val="0"/>
    <w:pPr>
      <w:widowControl/>
      <w:spacing w:beforeAutospacing="1" w:afterAutospacing="1"/>
      <w:jc w:val="left"/>
    </w:pPr>
    <w:rPr>
      <w:rFonts w:ascii="宋体" w:hAnsi="宋体" w:cs="宋体"/>
      <w:kern w:val="0"/>
      <w:sz w:val="24"/>
    </w:rPr>
  </w:style>
  <w:style w:type="paragraph" w:styleId="14">
    <w:name w:val="envelope return"/>
    <w:basedOn w:val="1"/>
    <w:autoRedefine/>
    <w:unhideWhenUsed/>
    <w:qFormat/>
    <w:uiPriority w:val="99"/>
    <w:pPr>
      <w:snapToGrid w:val="0"/>
    </w:pPr>
    <w:rPr>
      <w:rFonts w:ascii="Arial" w:hAnsi="Arial"/>
    </w:rPr>
  </w:style>
  <w:style w:type="paragraph" w:styleId="15">
    <w:name w:val="List 2"/>
    <w:basedOn w:val="1"/>
    <w:autoRedefine/>
    <w:qFormat/>
    <w:uiPriority w:val="0"/>
    <w:pPr>
      <w:ind w:left="100" w:leftChars="200" w:hanging="200" w:hangingChars="200"/>
    </w:pPr>
  </w:style>
  <w:style w:type="paragraph" w:styleId="16">
    <w:name w:val="Block Text"/>
    <w:basedOn w:val="1"/>
    <w:autoRedefine/>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autoRedefine/>
    <w:qFormat/>
    <w:uiPriority w:val="0"/>
    <w:pPr>
      <w:tabs>
        <w:tab w:val="left" w:pos="709"/>
        <w:tab w:val="right" w:leader="dot" w:pos="8789"/>
      </w:tabs>
      <w:spacing w:line="400" w:lineRule="atLeast"/>
    </w:pPr>
    <w:rPr>
      <w:rFonts w:ascii="宋体"/>
      <w:kern w:val="0"/>
      <w:szCs w:val="20"/>
    </w:rPr>
  </w:style>
  <w:style w:type="paragraph" w:styleId="18">
    <w:name w:val="Plain Text"/>
    <w:basedOn w:val="1"/>
    <w:autoRedefine/>
    <w:qFormat/>
    <w:uiPriority w:val="0"/>
    <w:pPr>
      <w:widowControl/>
      <w:spacing w:beforeAutospacing="1" w:afterAutospacing="1"/>
      <w:jc w:val="left"/>
    </w:pPr>
    <w:rPr>
      <w:rFonts w:ascii="宋体" w:hAnsi="宋体" w:cs="宋体"/>
      <w:kern w:val="0"/>
      <w:sz w:val="24"/>
    </w:rPr>
  </w:style>
  <w:style w:type="paragraph" w:styleId="19">
    <w:name w:val="Date"/>
    <w:basedOn w:val="1"/>
    <w:next w:val="1"/>
    <w:autoRedefine/>
    <w:qFormat/>
    <w:uiPriority w:val="0"/>
    <w:pPr>
      <w:ind w:left="100" w:leftChars="2500"/>
    </w:pPr>
    <w:rPr>
      <w:rFonts w:ascii="宋体" w:hAnsi="宋体"/>
      <w:sz w:val="28"/>
    </w:rPr>
  </w:style>
  <w:style w:type="paragraph" w:styleId="20">
    <w:name w:val="Body Text Indent 2"/>
    <w:basedOn w:val="1"/>
    <w:autoRedefine/>
    <w:qFormat/>
    <w:uiPriority w:val="0"/>
    <w:pPr>
      <w:spacing w:line="480" w:lineRule="auto"/>
      <w:ind w:left="420" w:leftChars="200"/>
    </w:pPr>
  </w:style>
  <w:style w:type="paragraph" w:styleId="21">
    <w:name w:val="footer"/>
    <w:basedOn w:val="1"/>
    <w:autoRedefine/>
    <w:qFormat/>
    <w:uiPriority w:val="0"/>
    <w:pPr>
      <w:tabs>
        <w:tab w:val="center" w:pos="4153"/>
        <w:tab w:val="right" w:pos="8306"/>
      </w:tabs>
      <w:snapToGrid w:val="0"/>
      <w:jc w:val="left"/>
    </w:pPr>
    <w:rPr>
      <w:sz w:val="18"/>
      <w:szCs w:val="18"/>
    </w:rPr>
  </w:style>
  <w:style w:type="paragraph" w:styleId="22">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qFormat/>
    <w:uiPriority w:val="0"/>
  </w:style>
  <w:style w:type="paragraph" w:styleId="24">
    <w:name w:val="List"/>
    <w:basedOn w:val="1"/>
    <w:autoRedefine/>
    <w:qFormat/>
    <w:uiPriority w:val="0"/>
    <w:pPr>
      <w:ind w:left="200" w:hanging="200" w:hangingChars="200"/>
    </w:pPr>
  </w:style>
  <w:style w:type="paragraph" w:styleId="25">
    <w:name w:val="Body Text 2"/>
    <w:basedOn w:val="1"/>
    <w:next w:val="3"/>
    <w:autoRedefine/>
    <w:qFormat/>
    <w:uiPriority w:val="0"/>
    <w:pPr>
      <w:spacing w:line="480" w:lineRule="auto"/>
    </w:pPr>
  </w:style>
  <w:style w:type="paragraph" w:styleId="26">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99"/>
    <w:pPr>
      <w:spacing w:before="100" w:beforeAutospacing="1" w:after="100" w:afterAutospacing="1"/>
      <w:jc w:val="left"/>
    </w:pPr>
    <w:rPr>
      <w:kern w:val="0"/>
      <w:sz w:val="24"/>
    </w:rPr>
  </w:style>
  <w:style w:type="paragraph" w:styleId="29">
    <w:name w:val="Title"/>
    <w:basedOn w:val="1"/>
    <w:autoRedefine/>
    <w:qFormat/>
    <w:uiPriority w:val="0"/>
    <w:pPr>
      <w:jc w:val="center"/>
      <w:outlineLvl w:val="0"/>
    </w:pPr>
    <w:rPr>
      <w:rFonts w:ascii="Arial" w:hAnsi="Arial" w:cs="Arial"/>
      <w:b/>
      <w:bCs/>
      <w:sz w:val="32"/>
      <w:szCs w:val="32"/>
    </w:rPr>
  </w:style>
  <w:style w:type="paragraph" w:styleId="30">
    <w:name w:val="Body Text First Indent"/>
    <w:basedOn w:val="3"/>
    <w:next w:val="31"/>
    <w:autoRedefine/>
    <w:qFormat/>
    <w:uiPriority w:val="0"/>
    <w:pPr>
      <w:spacing w:line="360" w:lineRule="auto"/>
      <w:ind w:firstLine="420" w:firstLineChars="100"/>
    </w:pPr>
    <w:rPr>
      <w:szCs w:val="21"/>
    </w:rPr>
  </w:style>
  <w:style w:type="paragraph" w:styleId="31">
    <w:name w:val="Body Text First Indent 2"/>
    <w:basedOn w:val="13"/>
    <w:next w:val="9"/>
    <w:autoRedefine/>
    <w:qFormat/>
    <w:uiPriority w:val="0"/>
    <w:pPr>
      <w:ind w:firstLine="420" w:firstLineChars="200"/>
    </w:pPr>
  </w:style>
  <w:style w:type="table" w:styleId="33">
    <w:name w:val="Table Grid"/>
    <w:basedOn w:val="32"/>
    <w:autoRedefine/>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szCs w:val="24"/>
    </w:rPr>
  </w:style>
  <w:style w:type="character" w:styleId="36">
    <w:name w:val="page number"/>
    <w:basedOn w:val="34"/>
    <w:autoRedefine/>
    <w:qFormat/>
    <w:uiPriority w:val="0"/>
  </w:style>
  <w:style w:type="character" w:styleId="37">
    <w:name w:val="FollowedHyperlink"/>
    <w:autoRedefine/>
    <w:qFormat/>
    <w:uiPriority w:val="0"/>
    <w:rPr>
      <w:color w:val="333333"/>
      <w:szCs w:val="24"/>
      <w:u w:val="none"/>
    </w:rPr>
  </w:style>
  <w:style w:type="character" w:styleId="38">
    <w:name w:val="Emphasis"/>
    <w:basedOn w:val="34"/>
    <w:autoRedefine/>
    <w:qFormat/>
    <w:uiPriority w:val="0"/>
  </w:style>
  <w:style w:type="character" w:styleId="39">
    <w:name w:val="HTML Definition"/>
    <w:basedOn w:val="34"/>
    <w:autoRedefine/>
    <w:qFormat/>
    <w:uiPriority w:val="0"/>
  </w:style>
  <w:style w:type="character" w:styleId="40">
    <w:name w:val="HTML Typewriter"/>
    <w:basedOn w:val="34"/>
    <w:autoRedefine/>
    <w:qFormat/>
    <w:uiPriority w:val="0"/>
    <w:rPr>
      <w:rFonts w:hint="default" w:ascii="monospace" w:hAnsi="monospace" w:eastAsia="monospace" w:cs="monospace"/>
      <w:sz w:val="20"/>
    </w:rPr>
  </w:style>
  <w:style w:type="character" w:styleId="41">
    <w:name w:val="HTML Acronym"/>
    <w:basedOn w:val="34"/>
    <w:autoRedefine/>
    <w:qFormat/>
    <w:uiPriority w:val="0"/>
  </w:style>
  <w:style w:type="character" w:styleId="42">
    <w:name w:val="HTML Variable"/>
    <w:basedOn w:val="34"/>
    <w:autoRedefine/>
    <w:qFormat/>
    <w:uiPriority w:val="0"/>
  </w:style>
  <w:style w:type="character" w:styleId="43">
    <w:name w:val="Hyperlink"/>
    <w:basedOn w:val="34"/>
    <w:autoRedefine/>
    <w:qFormat/>
    <w:uiPriority w:val="0"/>
    <w:rPr>
      <w:color w:val="333333"/>
      <w:szCs w:val="24"/>
      <w:u w:val="none"/>
    </w:rPr>
  </w:style>
  <w:style w:type="character" w:styleId="44">
    <w:name w:val="HTML Code"/>
    <w:basedOn w:val="34"/>
    <w:autoRedefine/>
    <w:qFormat/>
    <w:uiPriority w:val="0"/>
    <w:rPr>
      <w:rFonts w:ascii="monospace" w:hAnsi="monospace" w:eastAsia="monospace" w:cs="monospace"/>
      <w:sz w:val="20"/>
    </w:rPr>
  </w:style>
  <w:style w:type="character" w:styleId="45">
    <w:name w:val="HTML Cite"/>
    <w:basedOn w:val="34"/>
    <w:autoRedefine/>
    <w:qFormat/>
    <w:uiPriority w:val="0"/>
  </w:style>
  <w:style w:type="character" w:styleId="46">
    <w:name w:val="HTML Keyboard"/>
    <w:basedOn w:val="34"/>
    <w:autoRedefine/>
    <w:qFormat/>
    <w:uiPriority w:val="0"/>
    <w:rPr>
      <w:rFonts w:hint="default" w:ascii="monospace" w:hAnsi="monospace" w:eastAsia="monospace" w:cs="monospace"/>
      <w:sz w:val="20"/>
    </w:rPr>
  </w:style>
  <w:style w:type="character" w:styleId="47">
    <w:name w:val="HTML Sample"/>
    <w:basedOn w:val="34"/>
    <w:autoRedefine/>
    <w:qFormat/>
    <w:uiPriority w:val="0"/>
    <w:rPr>
      <w:rFonts w:hint="default" w:ascii="monospace" w:hAnsi="monospace" w:eastAsia="monospace" w:cs="monospace"/>
    </w:rPr>
  </w:style>
  <w:style w:type="paragraph" w:customStyle="1" w:styleId="48">
    <w:name w:val="目录 51"/>
    <w:next w:val="1"/>
    <w:autoRedefine/>
    <w:qFormat/>
    <w:uiPriority w:val="0"/>
    <w:pPr>
      <w:wordWrap w:val="0"/>
      <w:ind w:left="1700"/>
      <w:jc w:val="both"/>
    </w:pPr>
    <w:rPr>
      <w:rFonts w:ascii="Calibri" w:hAnsi="Calibri" w:eastAsia="Calibri" w:cs="Times New Roman"/>
      <w:sz w:val="21"/>
      <w:lang w:val="en-US" w:eastAsia="zh-CN" w:bidi="ar-SA"/>
    </w:rPr>
  </w:style>
  <w:style w:type="paragraph" w:customStyle="1" w:styleId="49">
    <w:name w:val="样式 正文首行缩进 2 + Arial"/>
    <w:basedOn w:val="1"/>
    <w:next w:val="1"/>
    <w:autoRedefine/>
    <w:qFormat/>
    <w:uiPriority w:val="0"/>
    <w:pPr>
      <w:spacing w:after="120" w:line="320" w:lineRule="atLeast"/>
      <w:ind w:firstLine="200" w:firstLineChars="200"/>
    </w:pPr>
    <w:rPr>
      <w:rFonts w:ascii="Arial" w:hAnsi="Arial"/>
      <w:kern w:val="0"/>
    </w:rPr>
  </w:style>
  <w:style w:type="paragraph" w:customStyle="1" w:styleId="50">
    <w:name w:val="No Spacing1"/>
    <w:basedOn w:val="1"/>
    <w:autoRedefine/>
    <w:qFormat/>
    <w:uiPriority w:val="0"/>
    <w:pPr>
      <w:spacing w:line="400" w:lineRule="exact"/>
    </w:pPr>
    <w:rPr>
      <w:sz w:val="24"/>
    </w:rPr>
  </w:style>
  <w:style w:type="paragraph" w:customStyle="1" w:styleId="51">
    <w:name w:val="大标题"/>
    <w:basedOn w:val="1"/>
    <w:next w:val="31"/>
    <w:autoRedefine/>
    <w:qFormat/>
    <w:uiPriority w:val="0"/>
    <w:pPr>
      <w:jc w:val="center"/>
    </w:pPr>
    <w:rPr>
      <w:rFonts w:ascii="Arial" w:hAnsi="Arial"/>
      <w:b/>
      <w:sz w:val="28"/>
    </w:rPr>
  </w:style>
  <w:style w:type="paragraph" w:customStyle="1" w:styleId="52">
    <w:name w:val="样式 首行缩进:  2 字符"/>
    <w:basedOn w:val="1"/>
    <w:autoRedefine/>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autoRedefine/>
    <w:qFormat/>
    <w:uiPriority w:val="0"/>
  </w:style>
  <w:style w:type="paragraph" w:customStyle="1" w:styleId="54">
    <w:name w:val="正文缩进1"/>
    <w:basedOn w:val="1"/>
    <w:autoRedefine/>
    <w:qFormat/>
    <w:uiPriority w:val="0"/>
    <w:pPr>
      <w:widowControl/>
      <w:ind w:firstLine="420"/>
      <w:jc w:val="left"/>
    </w:pPr>
    <w:rPr>
      <w:kern w:val="0"/>
      <w:szCs w:val="20"/>
    </w:rPr>
  </w:style>
  <w:style w:type="paragraph" w:customStyle="1" w:styleId="55">
    <w:name w:val="列出段落2"/>
    <w:basedOn w:val="1"/>
    <w:autoRedefine/>
    <w:qFormat/>
    <w:uiPriority w:val="34"/>
    <w:pPr>
      <w:ind w:firstLine="420" w:firstLineChars="200"/>
    </w:pPr>
  </w:style>
  <w:style w:type="paragraph" w:customStyle="1" w:styleId="56">
    <w:name w:val="plaintext"/>
    <w:basedOn w:val="1"/>
    <w:autoRedefine/>
    <w:qFormat/>
    <w:uiPriority w:val="0"/>
    <w:pPr>
      <w:widowControl/>
      <w:spacing w:beforeAutospacing="1" w:afterAutospacing="1"/>
      <w:jc w:val="left"/>
    </w:pPr>
    <w:rPr>
      <w:rFonts w:ascii="宋体" w:hAnsi="宋体" w:cs="宋体"/>
      <w:kern w:val="0"/>
      <w:sz w:val="24"/>
    </w:rPr>
  </w:style>
  <w:style w:type="paragraph" w:customStyle="1" w:styleId="57">
    <w:name w:val="1"/>
    <w:basedOn w:val="1"/>
    <w:autoRedefine/>
    <w:qFormat/>
    <w:uiPriority w:val="0"/>
    <w:pPr>
      <w:widowControl/>
      <w:spacing w:beforeAutospacing="1" w:afterAutospacing="1"/>
      <w:jc w:val="left"/>
    </w:pPr>
    <w:rPr>
      <w:rFonts w:ascii="宋体" w:hAnsi="宋体" w:cs="宋体"/>
      <w:kern w:val="0"/>
      <w:sz w:val="24"/>
    </w:rPr>
  </w:style>
  <w:style w:type="paragraph" w:styleId="58">
    <w:name w:val="No Spacing"/>
    <w:autoRedefine/>
    <w:qFormat/>
    <w:uiPriority w:val="1"/>
    <w:rPr>
      <w:rFonts w:ascii="Calibri" w:hAnsi="Calibri" w:eastAsia="宋体" w:cs="Times New Roman"/>
      <w:sz w:val="22"/>
      <w:szCs w:val="22"/>
      <w:lang w:val="en-US" w:eastAsia="zh-CN" w:bidi="ar-SA"/>
    </w:rPr>
  </w:style>
  <w:style w:type="paragraph" w:customStyle="1" w:styleId="59">
    <w:name w:val="_Style 2"/>
    <w:basedOn w:val="1"/>
    <w:autoRedefine/>
    <w:qFormat/>
    <w:uiPriority w:val="34"/>
    <w:pPr>
      <w:ind w:firstLine="420" w:firstLineChars="200"/>
    </w:pPr>
    <w:rPr>
      <w:rFonts w:ascii="Calibri" w:hAnsi="Calibri"/>
    </w:rPr>
  </w:style>
  <w:style w:type="paragraph" w:customStyle="1" w:styleId="60">
    <w:name w:val="paracharcharcharcharcharcharcharcharchar1charcharcharchar"/>
    <w:basedOn w:val="1"/>
    <w:autoRedefine/>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autoRedefine/>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autoRedefine/>
    <w:qFormat/>
    <w:uiPriority w:val="0"/>
  </w:style>
  <w:style w:type="paragraph" w:customStyle="1" w:styleId="63">
    <w:name w:val="p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autoRedefine/>
    <w:qFormat/>
    <w:uiPriority w:val="1"/>
    <w:pPr>
      <w:jc w:val="left"/>
    </w:pPr>
    <w:rPr>
      <w:rFonts w:ascii="宋体" w:hAnsi="宋体" w:cs="宋体"/>
      <w:kern w:val="0"/>
      <w:sz w:val="22"/>
      <w:szCs w:val="22"/>
      <w:lang w:eastAsia="en-US"/>
    </w:rPr>
  </w:style>
  <w:style w:type="paragraph" w:customStyle="1" w:styleId="65">
    <w:name w:val="无间隔1"/>
    <w:basedOn w:val="1"/>
    <w:autoRedefine/>
    <w:qFormat/>
    <w:uiPriority w:val="1"/>
    <w:pPr>
      <w:spacing w:line="400" w:lineRule="exact"/>
    </w:pPr>
    <w:rPr>
      <w:sz w:val="24"/>
    </w:rPr>
  </w:style>
  <w:style w:type="paragraph" w:customStyle="1" w:styleId="66">
    <w:name w:val="正文格式"/>
    <w:autoRedefine/>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autoRedefine/>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autoRedefine/>
    <w:qFormat/>
    <w:uiPriority w:val="34"/>
    <w:pPr>
      <w:ind w:firstLine="420" w:firstLineChars="200"/>
    </w:pPr>
  </w:style>
  <w:style w:type="paragraph" w:customStyle="1" w:styleId="69">
    <w:name w:val="列出段落111"/>
    <w:autoRedefine/>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autoRedefine/>
    <w:qFormat/>
    <w:uiPriority w:val="0"/>
    <w:pPr>
      <w:widowControl/>
      <w:spacing w:beforeAutospacing="1" w:afterAutospacing="1"/>
      <w:jc w:val="left"/>
    </w:pPr>
    <w:rPr>
      <w:rFonts w:ascii="宋体" w:hAnsi="宋体" w:cs="宋体"/>
      <w:kern w:val="0"/>
      <w:sz w:val="24"/>
    </w:rPr>
  </w:style>
  <w:style w:type="paragraph" w:customStyle="1" w:styleId="71">
    <w:name w:val="default"/>
    <w:basedOn w:val="1"/>
    <w:autoRedefine/>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autoRedefine/>
    <w:qFormat/>
    <w:uiPriority w:val="0"/>
    <w:pPr>
      <w:ind w:firstLine="420" w:firstLineChars="200"/>
    </w:pPr>
    <w:rPr>
      <w:rFonts w:ascii="Calibri" w:hAnsi="Calibri"/>
      <w:szCs w:val="22"/>
    </w:rPr>
  </w:style>
  <w:style w:type="character" w:customStyle="1" w:styleId="73">
    <w:name w:val="正文文本 Char"/>
    <w:basedOn w:val="34"/>
    <w:link w:val="3"/>
    <w:autoRedefine/>
    <w:qFormat/>
    <w:uiPriority w:val="0"/>
  </w:style>
  <w:style w:type="character" w:customStyle="1" w:styleId="74">
    <w:name w:val="apple-converted-space"/>
    <w:basedOn w:val="34"/>
    <w:autoRedefine/>
    <w:qFormat/>
    <w:uiPriority w:val="0"/>
  </w:style>
  <w:style w:type="character" w:customStyle="1" w:styleId="75">
    <w:name w:val="文档结构图 Char"/>
    <w:link w:val="10"/>
    <w:autoRedefine/>
    <w:qFormat/>
    <w:uiPriority w:val="0"/>
    <w:rPr>
      <w:rFonts w:ascii="宋体"/>
      <w:kern w:val="2"/>
      <w:sz w:val="18"/>
      <w:szCs w:val="18"/>
    </w:rPr>
  </w:style>
  <w:style w:type="character" w:customStyle="1" w:styleId="76">
    <w:name w:val="不明显强调1"/>
    <w:autoRedefine/>
    <w:qFormat/>
    <w:uiPriority w:val="19"/>
    <w:rPr>
      <w:i/>
      <w:iCs/>
      <w:color w:val="7F7F7F"/>
      <w:szCs w:val="24"/>
    </w:rPr>
  </w:style>
  <w:style w:type="character" w:customStyle="1" w:styleId="77">
    <w:name w:val="font71"/>
    <w:autoRedefine/>
    <w:qFormat/>
    <w:uiPriority w:val="0"/>
    <w:rPr>
      <w:rFonts w:hint="eastAsia" w:ascii="宋体" w:hAnsi="宋体" w:eastAsia="宋体" w:cs="宋体"/>
      <w:color w:val="000000"/>
      <w:sz w:val="28"/>
      <w:szCs w:val="28"/>
      <w:u w:val="none"/>
    </w:rPr>
  </w:style>
  <w:style w:type="character" w:customStyle="1" w:styleId="78">
    <w:name w:val="font21"/>
    <w:autoRedefine/>
    <w:qFormat/>
    <w:uiPriority w:val="0"/>
    <w:rPr>
      <w:rFonts w:hint="default" w:ascii="Calibri" w:hAnsi="Calibri" w:cs="Calibri"/>
      <w:color w:val="000000"/>
      <w:sz w:val="28"/>
      <w:szCs w:val="28"/>
      <w:u w:val="none"/>
    </w:rPr>
  </w:style>
  <w:style w:type="character" w:customStyle="1" w:styleId="79">
    <w:name w:val="17"/>
    <w:autoRedefine/>
    <w:qFormat/>
    <w:uiPriority w:val="0"/>
    <w:rPr>
      <w:rFonts w:hint="eastAsia" w:ascii="宋体" w:hAnsi="宋体" w:eastAsia="宋体"/>
      <w:color w:val="000000"/>
    </w:rPr>
  </w:style>
  <w:style w:type="character" w:customStyle="1" w:styleId="80">
    <w:name w:val="font91"/>
    <w:autoRedefine/>
    <w:qFormat/>
    <w:uiPriority w:val="0"/>
    <w:rPr>
      <w:rFonts w:hint="eastAsia" w:ascii="宋体" w:hAnsi="宋体" w:eastAsia="宋体" w:cs="宋体"/>
      <w:color w:val="FF0000"/>
      <w:sz w:val="28"/>
      <w:szCs w:val="28"/>
      <w:u w:val="none"/>
    </w:rPr>
  </w:style>
  <w:style w:type="paragraph" w:customStyle="1" w:styleId="81">
    <w:name w:val="p"/>
    <w:basedOn w:val="1"/>
    <w:autoRedefine/>
    <w:qFormat/>
    <w:uiPriority w:val="0"/>
    <w:pPr>
      <w:widowControl/>
      <w:spacing w:line="432" w:lineRule="auto"/>
      <w:jc w:val="left"/>
    </w:pPr>
    <w:rPr>
      <w:rFonts w:ascii="宋体" w:hAnsi="宋体" w:cs="宋体"/>
      <w:kern w:val="0"/>
      <w:sz w:val="24"/>
    </w:rPr>
  </w:style>
  <w:style w:type="paragraph" w:customStyle="1" w:styleId="82">
    <w:name w:val="WPSOffice手动目录 1"/>
    <w:autoRedefine/>
    <w:qFormat/>
    <w:uiPriority w:val="0"/>
    <w:rPr>
      <w:rFonts w:ascii="Times New Roman" w:hAnsi="Times New Roman" w:eastAsia="宋体" w:cs="Times New Roman"/>
      <w:lang w:val="en-US" w:eastAsia="zh-CN" w:bidi="ar-SA"/>
    </w:rPr>
  </w:style>
  <w:style w:type="paragraph" w:customStyle="1" w:styleId="83">
    <w:name w:val="*正文_1"/>
    <w:basedOn w:val="1"/>
    <w:next w:val="1"/>
    <w:autoRedefine/>
    <w:qFormat/>
    <w:uiPriority w:val="0"/>
    <w:pPr>
      <w:widowControl/>
      <w:ind w:firstLine="482"/>
    </w:pPr>
    <w:rPr>
      <w:rFonts w:ascii="微软雅黑" w:hAnsi="微软雅黑" w:eastAsia="微软雅黑"/>
      <w:kern w:val="0"/>
      <w:szCs w:val="20"/>
    </w:rPr>
  </w:style>
  <w:style w:type="paragraph" w:customStyle="1" w:styleId="84">
    <w:name w:val="表格文字"/>
    <w:basedOn w:val="1"/>
    <w:next w:val="3"/>
    <w:autoRedefine/>
    <w:qFormat/>
    <w:uiPriority w:val="0"/>
    <w:pPr>
      <w:adjustRightInd w:val="0"/>
      <w:spacing w:line="420" w:lineRule="atLeast"/>
      <w:jc w:val="left"/>
      <w:textAlignment w:val="baseline"/>
    </w:pPr>
    <w:rPr>
      <w:kern w:val="0"/>
      <w:szCs w:val="20"/>
    </w:rPr>
  </w:style>
  <w:style w:type="character" w:customStyle="1" w:styleId="85">
    <w:name w:val="NormalCharacter"/>
    <w:autoRedefine/>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autoRedefine/>
    <w:qFormat/>
    <w:uiPriority w:val="34"/>
    <w:pPr>
      <w:widowControl/>
      <w:ind w:firstLine="420"/>
      <w:jc w:val="left"/>
    </w:pPr>
    <w:rPr>
      <w:kern w:val="0"/>
    </w:rPr>
  </w:style>
  <w:style w:type="paragraph" w:styleId="87">
    <w:name w:val="List Paragraph"/>
    <w:basedOn w:val="1"/>
    <w:autoRedefine/>
    <w:qFormat/>
    <w:uiPriority w:val="34"/>
    <w:pPr>
      <w:ind w:firstLine="420" w:firstLineChars="200"/>
    </w:pPr>
  </w:style>
  <w:style w:type="character" w:customStyle="1" w:styleId="88">
    <w:name w:val="hover18"/>
    <w:basedOn w:val="34"/>
    <w:autoRedefine/>
    <w:qFormat/>
    <w:uiPriority w:val="0"/>
  </w:style>
  <w:style w:type="table" w:customStyle="1" w:styleId="89">
    <w:name w:val="Table Normal"/>
    <w:autoRedefine/>
    <w:qFormat/>
    <w:uiPriority w:val="0"/>
    <w:tblPr>
      <w:tblCellMar>
        <w:top w:w="0" w:type="dxa"/>
        <w:left w:w="0" w:type="dxa"/>
        <w:bottom w:w="0" w:type="dxa"/>
        <w:right w:w="0" w:type="dxa"/>
      </w:tblCellMar>
    </w:tblPr>
  </w:style>
  <w:style w:type="paragraph" w:customStyle="1" w:styleId="90">
    <w:name w:val="Table Text"/>
    <w:basedOn w:val="1"/>
    <w:autoRedefine/>
    <w:semiHidden/>
    <w:qFormat/>
    <w:uiPriority w:val="0"/>
    <w:rPr>
      <w:rFonts w:ascii="宋体" w:hAnsi="宋体" w:eastAsia="宋体" w:cs="宋体"/>
      <w:sz w:val="45"/>
      <w:szCs w:val="45"/>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40</Pages>
  <Words>20731</Words>
  <Characters>21695</Characters>
  <Lines>50</Lines>
  <Paragraphs>68</Paragraphs>
  <TotalTime>0</TotalTime>
  <ScaleCrop>false</ScaleCrop>
  <LinksUpToDate>false</LinksUpToDate>
  <CharactersWithSpaces>22703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2024-04-19T01:17:33Z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6B4FDCA957CB4E82998C2E32247B97ED_13</vt:lpwstr>
  </property>
</Properties>
</file>