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驻马店市中心医院飞利浦MX4000 CT（不含球管）全保项目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hint="default" w:ascii="宋体" w:hAnsi="宋体" w:eastAsia="宋体"/>
          <w:b/>
          <w:color w:val="auto"/>
          <w:sz w:val="40"/>
          <w:szCs w:val="40"/>
          <w:highlight w:val="none"/>
          <w:lang w:val="en-US" w:eastAsia="zh-CN"/>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r>
        <w:rPr>
          <w:rFonts w:hint="eastAsia" w:ascii="宋体" w:hAnsi="宋体"/>
          <w:b/>
          <w:color w:val="auto"/>
          <w:sz w:val="40"/>
          <w:szCs w:val="40"/>
          <w:highlight w:val="none"/>
          <w:lang w:val="en-US" w:eastAsia="zh-CN"/>
        </w:rPr>
        <w:t xml:space="preserve">   </w:t>
      </w: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驻马店市中心医院飞利浦MX4000 CT（不含球管）全保项目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飞利浦MX4000 CT（不含球管）全保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驻马店市中心医院飞利浦MX4000 CT（不含球管）全保项目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15.30万元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：3年。合同一年一签，经考核合格后可续签一年，最多可续签两年。</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27704"/>
      <w:bookmarkStart w:id="5" w:name="_Toc18607"/>
      <w:bookmarkStart w:id="6" w:name="_Toc23626"/>
      <w:bookmarkStart w:id="7"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971"/>
      <w:bookmarkStart w:id="9" w:name="_Toc30643"/>
      <w:bookmarkStart w:id="10" w:name="_Toc23395"/>
      <w:bookmarkStart w:id="11" w:name="_Toc7823"/>
      <w:bookmarkStart w:id="12" w:name="_Toc9562"/>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27480"/>
      <w:bookmarkStart w:id="14" w:name="_Toc10738"/>
      <w:bookmarkStart w:id="15" w:name="_Toc15111"/>
      <w:bookmarkStart w:id="16" w:name="_Toc15135"/>
      <w:bookmarkStart w:id="17" w:name="_Toc25869"/>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9784"/>
      <w:bookmarkStart w:id="19" w:name="_Toc20287"/>
      <w:bookmarkStart w:id="20" w:name="_Toc6523"/>
      <w:bookmarkStart w:id="21" w:name="_Toc30918"/>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3604"/>
      <w:bookmarkStart w:id="25" w:name="_Toc16291"/>
      <w:bookmarkStart w:id="26" w:name="_Toc24274"/>
      <w:bookmarkStart w:id="27" w:name="_Toc27370"/>
      <w:bookmarkStart w:id="28" w:name="_Toc31928"/>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监督电话：0396-2726678</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9890"/>
      <w:bookmarkStart w:id="30" w:name="_Toc23793"/>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31536"/>
      <w:bookmarkStart w:id="33" w:name="_Toc23610"/>
      <w:bookmarkStart w:id="34" w:name="_Toc9989"/>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飞利浦MX4000 CT（不含球管）全保项目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飞利浦MX4000 CT（不含球管）全保三年。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飞利浦MX4000 CT（不含球管）全保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3</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15.30万元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3</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15.30万元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numPr>
                <w:ilvl w:val="0"/>
                <w:numId w:val="0"/>
              </w:numPr>
              <w:jc w:val="center"/>
              <w:rPr>
                <w:rFonts w:hint="default"/>
                <w:lang w:val="en-US" w:eastAsia="zh-CN"/>
              </w:rPr>
            </w:pPr>
            <w:r>
              <w:rPr>
                <w:rFonts w:hint="eastAsia"/>
                <w:lang w:val="en-US" w:eastAsia="zh-CN"/>
              </w:rPr>
              <w:t>1台，</w:t>
            </w:r>
            <w:r>
              <w:rPr>
                <w:rFonts w:hint="eastAsia" w:ascii="宋体" w:hAnsi="宋体" w:cs="宋体"/>
                <w:color w:val="auto"/>
                <w:szCs w:val="21"/>
                <w:highlight w:val="none"/>
                <w:shd w:val="clear" w:color="auto" w:fill="FFFFFF"/>
                <w:lang w:val="en-US" w:eastAsia="zh-CN"/>
              </w:rPr>
              <w:t>5.1万元/年</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3年。合同一年一签，经考核合格后可续签一年，最多可续签两年。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驻马店市中心医院飞利浦MX4000 CT（不含球管）全保项目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15.30万元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15.30万元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15.30万元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256519703"/>
      <w:bookmarkStart w:id="47" w:name="_Toc326786897"/>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14560"/>
      <w:bookmarkStart w:id="64" w:name="_Toc8818"/>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11620"/>
      <w:bookmarkStart w:id="67" w:name="_Toc20877"/>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12222"/>
      <w:bookmarkStart w:id="69" w:name="_Toc625"/>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1330"/>
      <w:bookmarkStart w:id="71" w:name="_Toc995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9960"/>
      <w:bookmarkStart w:id="77" w:name="_Toc2042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28621"/>
      <w:bookmarkStart w:id="80"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12939"/>
      <w:bookmarkStart w:id="84" w:name="_Toc3051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18105"/>
      <w:bookmarkStart w:id="86" w:name="_Toc3342"/>
      <w:bookmarkStart w:id="87" w:name="_Toc24693"/>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2888"/>
      <w:bookmarkStart w:id="90" w:name="_Toc16083"/>
      <w:bookmarkStart w:id="91" w:name="_Toc13726"/>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23394"/>
      <w:bookmarkStart w:id="93" w:name="_Toc25094"/>
      <w:bookmarkStart w:id="94" w:name="_Toc31685"/>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驻马店市中心医院飞利浦MX4000 CT（不含球管）全保项目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14E4B"/>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D02591"/>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B0857"/>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116B12"/>
    <w:rsid w:val="4D225F85"/>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9E1BD1"/>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26</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2024-04-19T01:18:43Z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